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8B6B5">
      <w:pPr>
        <w:widowControl w:val="0"/>
        <w:snapToGrid w:val="0"/>
        <w:spacing w:line="560" w:lineRule="exact"/>
        <w:ind w:firstLine="241" w:firstLineChars="50"/>
        <w:jc w:val="center"/>
        <w:rPr>
          <w:rFonts w:eastAsia="黑体"/>
          <w:b/>
          <w:color w:val="auto"/>
          <w:spacing w:val="40"/>
          <w:sz w:val="40"/>
          <w:szCs w:val="40"/>
          <w:highlight w:val="none"/>
        </w:rPr>
      </w:pPr>
      <w:bookmarkStart w:id="59" w:name="_GoBack"/>
      <w:bookmarkEnd w:id="59"/>
    </w:p>
    <w:p w14:paraId="0CBF2C43">
      <w:pPr>
        <w:widowControl w:val="0"/>
        <w:snapToGrid w:val="0"/>
        <w:spacing w:line="560" w:lineRule="exact"/>
        <w:ind w:firstLine="241" w:firstLineChars="50"/>
        <w:jc w:val="center"/>
        <w:rPr>
          <w:rFonts w:eastAsia="黑体"/>
          <w:b/>
          <w:color w:val="auto"/>
          <w:spacing w:val="40"/>
          <w:sz w:val="40"/>
          <w:szCs w:val="40"/>
          <w:highlight w:val="none"/>
        </w:rPr>
      </w:pPr>
    </w:p>
    <w:p w14:paraId="081F2E6C">
      <w:pPr>
        <w:widowControl w:val="0"/>
        <w:snapToGrid w:val="0"/>
        <w:spacing w:line="560" w:lineRule="exact"/>
        <w:ind w:firstLine="241" w:firstLineChars="50"/>
        <w:jc w:val="center"/>
        <w:rPr>
          <w:rFonts w:eastAsia="黑体"/>
          <w:b/>
          <w:color w:val="auto"/>
          <w:spacing w:val="40"/>
          <w:sz w:val="40"/>
          <w:szCs w:val="40"/>
          <w:highlight w:val="none"/>
        </w:rPr>
      </w:pPr>
    </w:p>
    <w:p w14:paraId="45F38380">
      <w:pPr>
        <w:widowControl w:val="0"/>
        <w:snapToGrid w:val="0"/>
        <w:spacing w:line="560" w:lineRule="exact"/>
        <w:ind w:firstLine="221" w:firstLineChars="50"/>
        <w:jc w:val="center"/>
        <w:rPr>
          <w:rFonts w:ascii="黑体" w:eastAsia="黑体"/>
          <w:b/>
          <w:color w:val="auto"/>
          <w:sz w:val="44"/>
          <w:szCs w:val="44"/>
          <w:highlight w:val="none"/>
        </w:rPr>
      </w:pPr>
      <w:r>
        <w:rPr>
          <w:rFonts w:hint="eastAsia" w:ascii="黑体" w:eastAsia="黑体"/>
          <w:b/>
          <w:color w:val="auto"/>
          <w:sz w:val="44"/>
          <w:szCs w:val="44"/>
          <w:highlight w:val="none"/>
        </w:rPr>
        <w:t>安阳市殷都区公路事业发展中心</w:t>
      </w:r>
    </w:p>
    <w:p w14:paraId="2CFF8428">
      <w:pPr>
        <w:widowControl w:val="0"/>
        <w:snapToGrid w:val="0"/>
        <w:spacing w:line="560" w:lineRule="exact"/>
        <w:ind w:firstLine="221" w:firstLineChars="50"/>
        <w:jc w:val="center"/>
        <w:rPr>
          <w:rFonts w:ascii="黑体" w:eastAsia="黑体"/>
          <w:b/>
          <w:color w:val="auto"/>
          <w:spacing w:val="40"/>
          <w:sz w:val="44"/>
          <w:szCs w:val="44"/>
          <w:highlight w:val="none"/>
        </w:rPr>
      </w:pPr>
      <w:r>
        <w:rPr>
          <w:rFonts w:hint="eastAsia" w:ascii="黑体" w:eastAsia="黑体"/>
          <w:b/>
          <w:color w:val="auto"/>
          <w:sz w:val="44"/>
          <w:szCs w:val="44"/>
          <w:highlight w:val="none"/>
        </w:rPr>
        <w:t>保洁养护作业车辆定点维修保养项目</w:t>
      </w:r>
    </w:p>
    <w:p w14:paraId="5A838EFB">
      <w:pPr>
        <w:widowControl w:val="0"/>
        <w:snapToGrid w:val="0"/>
        <w:spacing w:line="560" w:lineRule="exact"/>
        <w:ind w:firstLine="261" w:firstLineChars="50"/>
        <w:jc w:val="center"/>
        <w:rPr>
          <w:rFonts w:ascii="黑体" w:eastAsia="黑体"/>
          <w:b/>
          <w:color w:val="auto"/>
          <w:spacing w:val="40"/>
          <w:sz w:val="44"/>
          <w:szCs w:val="44"/>
          <w:highlight w:val="none"/>
        </w:rPr>
      </w:pPr>
    </w:p>
    <w:p w14:paraId="31AD4ECE">
      <w:pPr>
        <w:widowControl w:val="0"/>
        <w:snapToGrid w:val="0"/>
        <w:spacing w:before="240" w:beforeLines="100" w:line="560" w:lineRule="exact"/>
        <w:jc w:val="center"/>
        <w:rPr>
          <w:rFonts w:eastAsia="黑体"/>
          <w:b/>
          <w:color w:val="auto"/>
          <w:sz w:val="44"/>
          <w:highlight w:val="none"/>
        </w:rPr>
      </w:pPr>
    </w:p>
    <w:p w14:paraId="7ED51DFC">
      <w:pPr>
        <w:widowControl w:val="0"/>
        <w:snapToGrid w:val="0"/>
        <w:spacing w:before="240" w:beforeLines="100" w:line="240" w:lineRule="auto"/>
        <w:jc w:val="center"/>
        <w:rPr>
          <w:rFonts w:eastAsia="黑体"/>
          <w:b/>
          <w:color w:val="auto"/>
          <w:sz w:val="44"/>
          <w:highlight w:val="none"/>
        </w:rPr>
      </w:pPr>
    </w:p>
    <w:p w14:paraId="7EEB0888">
      <w:pPr>
        <w:widowControl w:val="0"/>
        <w:snapToGrid w:val="0"/>
        <w:spacing w:before="240" w:beforeLines="100" w:line="240" w:lineRule="auto"/>
        <w:jc w:val="center"/>
        <w:rPr>
          <w:rFonts w:eastAsia="黑体"/>
          <w:b/>
          <w:color w:val="auto"/>
          <w:sz w:val="44"/>
          <w:highlight w:val="none"/>
        </w:rPr>
      </w:pPr>
    </w:p>
    <w:p w14:paraId="662FB425">
      <w:pPr>
        <w:widowControl w:val="0"/>
        <w:snapToGrid w:val="0"/>
        <w:spacing w:before="240"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谈</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判</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件</w:t>
      </w:r>
    </w:p>
    <w:p w14:paraId="1E8C67AA">
      <w:pPr>
        <w:widowControl w:val="0"/>
        <w:snapToGrid w:val="0"/>
        <w:spacing w:before="240" w:beforeLines="100" w:line="560" w:lineRule="exact"/>
        <w:jc w:val="center"/>
        <w:rPr>
          <w:rFonts w:eastAsia="黑体"/>
          <w:b/>
          <w:color w:val="auto"/>
          <w:sz w:val="30"/>
          <w:szCs w:val="30"/>
          <w:highlight w:val="none"/>
        </w:rPr>
      </w:pPr>
      <w:r>
        <w:rPr>
          <w:rFonts w:hint="eastAsia" w:ascii="宋体" w:hAnsi="宋体"/>
          <w:color w:val="auto"/>
          <w:sz w:val="32"/>
          <w:szCs w:val="32"/>
          <w:highlight w:val="none"/>
        </w:rPr>
        <w:t>项目编号：殷竞谈-2026-5</w:t>
      </w:r>
      <w:r>
        <w:rPr>
          <w:rFonts w:eastAsia="黑体"/>
          <w:b/>
          <w:color w:val="auto"/>
          <w:sz w:val="30"/>
          <w:szCs w:val="30"/>
          <w:highlight w:val="none"/>
        </w:rPr>
        <w:t xml:space="preserve"> </w:t>
      </w:r>
    </w:p>
    <w:p w14:paraId="4B822619">
      <w:pPr>
        <w:widowControl w:val="0"/>
        <w:snapToGrid w:val="0"/>
        <w:spacing w:before="240" w:beforeLines="100" w:line="560" w:lineRule="exact"/>
        <w:jc w:val="center"/>
        <w:rPr>
          <w:rFonts w:ascii="宋体" w:hAnsi="宋体"/>
          <w:color w:val="auto"/>
          <w:sz w:val="32"/>
          <w:szCs w:val="32"/>
          <w:highlight w:val="none"/>
        </w:rPr>
      </w:pPr>
    </w:p>
    <w:p w14:paraId="045A27FB">
      <w:pPr>
        <w:widowControl w:val="0"/>
        <w:snapToGrid w:val="0"/>
        <w:spacing w:before="240" w:beforeLines="100" w:line="560" w:lineRule="exact"/>
        <w:jc w:val="center"/>
        <w:rPr>
          <w:rFonts w:eastAsia="黑体"/>
          <w:b/>
          <w:color w:val="auto"/>
          <w:sz w:val="44"/>
          <w:highlight w:val="none"/>
        </w:rPr>
      </w:pPr>
    </w:p>
    <w:p w14:paraId="2FE80A63">
      <w:pPr>
        <w:widowControl w:val="0"/>
        <w:snapToGrid w:val="0"/>
        <w:spacing w:before="240" w:beforeLines="100" w:line="560" w:lineRule="exact"/>
        <w:jc w:val="center"/>
        <w:rPr>
          <w:rFonts w:eastAsia="黑体"/>
          <w:b/>
          <w:color w:val="auto"/>
          <w:sz w:val="44"/>
          <w:highlight w:val="none"/>
        </w:rPr>
      </w:pPr>
    </w:p>
    <w:p w14:paraId="6EE6ED35">
      <w:pPr>
        <w:widowControl w:val="0"/>
        <w:snapToGrid w:val="0"/>
        <w:spacing w:before="240" w:beforeLines="100" w:line="560" w:lineRule="exact"/>
        <w:jc w:val="center"/>
        <w:rPr>
          <w:rFonts w:eastAsia="黑体"/>
          <w:b/>
          <w:color w:val="auto"/>
          <w:sz w:val="44"/>
          <w:highlight w:val="none"/>
        </w:rPr>
      </w:pPr>
    </w:p>
    <w:p w14:paraId="488DEBF3">
      <w:pPr>
        <w:widowControl w:val="0"/>
        <w:snapToGrid w:val="0"/>
        <w:spacing w:before="240" w:beforeLines="100" w:line="560" w:lineRule="exact"/>
        <w:rPr>
          <w:rFonts w:eastAsia="黑体"/>
          <w:b/>
          <w:color w:val="auto"/>
          <w:sz w:val="44"/>
          <w:highlight w:val="none"/>
        </w:rPr>
      </w:pPr>
    </w:p>
    <w:p w14:paraId="6F0089B3">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采购人：安阳市殷都区公路事业发展中心</w:t>
      </w:r>
    </w:p>
    <w:p w14:paraId="5F47E978">
      <w:pPr>
        <w:widowControl w:val="0"/>
        <w:snapToGrid w:val="0"/>
        <w:spacing w:line="660" w:lineRule="exact"/>
        <w:ind w:firstLine="540" w:firstLineChars="168"/>
        <w:rPr>
          <w:rFonts w:ascii="黑体" w:hAnsi="黑体" w:eastAsia="黑体"/>
          <w:b/>
          <w:color w:val="auto"/>
          <w:sz w:val="32"/>
          <w:szCs w:val="32"/>
          <w:highlight w:val="none"/>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highlight w:val="none"/>
        </w:rPr>
        <w:t>代理机构：安阳市方正招标采购服务有限责任公司</w:t>
      </w:r>
    </w:p>
    <w:p w14:paraId="152DF086">
      <w:pPr>
        <w:widowControl w:val="0"/>
        <w:snapToGrid w:val="0"/>
        <w:spacing w:line="660" w:lineRule="exact"/>
        <w:ind w:firstLine="540" w:firstLineChars="168"/>
        <w:rPr>
          <w:rFonts w:ascii="黑体" w:hAnsi="黑体" w:eastAsia="黑体"/>
          <w:b/>
          <w:color w:val="auto"/>
          <w:sz w:val="32"/>
          <w:szCs w:val="32"/>
          <w:highlight w:val="none"/>
        </w:rPr>
      </w:pPr>
    </w:p>
    <w:p w14:paraId="0F9F70A8">
      <w:pPr>
        <w:pStyle w:val="48"/>
        <w:jc w:val="center"/>
        <w:rPr>
          <w:color w:val="auto"/>
          <w:highlight w:val="none"/>
        </w:rPr>
      </w:pPr>
      <w:r>
        <w:rPr>
          <w:rFonts w:hint="eastAsia" w:ascii="黑体" w:hAnsi="黑体" w:eastAsia="黑体"/>
          <w:color w:val="auto"/>
          <w:sz w:val="36"/>
          <w:szCs w:val="36"/>
          <w:highlight w:val="none"/>
          <w:lang w:val="zh-CN"/>
        </w:rPr>
        <w:t>目录</w:t>
      </w:r>
      <w:r>
        <w:rPr>
          <w:color w:val="auto"/>
          <w:highlight w:val="none"/>
        </w:rPr>
        <w:fldChar w:fldCharType="begin"/>
      </w:r>
      <w:r>
        <w:rPr>
          <w:color w:val="auto"/>
          <w:highlight w:val="none"/>
        </w:rPr>
        <w:instrText xml:space="preserve"> TOC \o "1-3" \h \z \u </w:instrText>
      </w:r>
      <w:r>
        <w:rPr>
          <w:color w:val="auto"/>
          <w:highlight w:val="none"/>
        </w:rPr>
        <w:fldChar w:fldCharType="separate"/>
      </w:r>
    </w:p>
    <w:p w14:paraId="1D968A33">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"_Toc206599115" </w:instrText>
      </w:r>
      <w:r>
        <w:rPr>
          <w:color w:val="auto"/>
          <w:highlight w:val="none"/>
        </w:rPr>
        <w:fldChar w:fldCharType="separate"/>
      </w:r>
      <w:r>
        <w:rPr>
          <w:rStyle w:val="20"/>
          <w:rFonts w:hint="eastAsia" w:eastAsia="黑体"/>
          <w:b/>
          <w:color w:val="auto"/>
          <w:highlight w:val="none"/>
        </w:rPr>
        <w:t>第一章</w:t>
      </w:r>
      <w:r>
        <w:rPr>
          <w:rStyle w:val="20"/>
          <w:rFonts w:eastAsia="黑体"/>
          <w:b/>
          <w:color w:val="auto"/>
          <w:highlight w:val="none"/>
        </w:rPr>
        <w:t xml:space="preserve"> </w:t>
      </w:r>
      <w:r>
        <w:rPr>
          <w:rStyle w:val="20"/>
          <w:rFonts w:hint="eastAsia" w:eastAsia="黑体"/>
          <w:b/>
          <w:color w:val="auto"/>
          <w:highlight w:val="none"/>
        </w:rPr>
        <w:t>谈判公告</w:t>
      </w:r>
      <w:r>
        <w:rPr>
          <w:color w:val="auto"/>
          <w:highlight w:val="none"/>
        </w:rPr>
        <w:tab/>
      </w:r>
      <w:r>
        <w:rPr>
          <w:color w:val="auto"/>
          <w:highlight w:val="none"/>
        </w:rPr>
        <w:fldChar w:fldCharType="begin"/>
      </w:r>
      <w:r>
        <w:rPr>
          <w:color w:val="auto"/>
          <w:highlight w:val="none"/>
        </w:rPr>
        <w:instrText xml:space="preserve"> PAGEREF _Toc206599115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38DCD7F7">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"_Toc206599116" </w:instrText>
      </w:r>
      <w:r>
        <w:rPr>
          <w:color w:val="auto"/>
          <w:highlight w:val="none"/>
        </w:rPr>
        <w:fldChar w:fldCharType="separate"/>
      </w:r>
      <w:r>
        <w:rPr>
          <w:rStyle w:val="20"/>
          <w:rFonts w:hint="eastAsia" w:eastAsia="黑体"/>
          <w:b/>
          <w:color w:val="auto"/>
          <w:highlight w:val="none"/>
        </w:rPr>
        <w:t>第二章</w:t>
      </w:r>
      <w:r>
        <w:rPr>
          <w:rStyle w:val="20"/>
          <w:rFonts w:eastAsia="黑体"/>
          <w:b/>
          <w:color w:val="auto"/>
          <w:highlight w:val="none"/>
        </w:rPr>
        <w:t xml:space="preserve"> </w:t>
      </w:r>
      <w:r>
        <w:rPr>
          <w:rStyle w:val="20"/>
          <w:rFonts w:hint="eastAsia" w:eastAsia="黑体"/>
          <w:b/>
          <w:color w:val="auto"/>
          <w:highlight w:val="none"/>
        </w:rPr>
        <w:t>采购项目及服务要求</w:t>
      </w:r>
      <w:r>
        <w:rPr>
          <w:color w:val="auto"/>
          <w:highlight w:val="none"/>
        </w:rPr>
        <w:tab/>
      </w:r>
      <w:r>
        <w:rPr>
          <w:color w:val="auto"/>
          <w:highlight w:val="none"/>
        </w:rPr>
        <w:fldChar w:fldCharType="begin"/>
      </w:r>
      <w:r>
        <w:rPr>
          <w:color w:val="auto"/>
          <w:highlight w:val="none"/>
        </w:rPr>
        <w:instrText xml:space="preserve"> PAGEREF _Toc206599116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5ED57349">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"_Toc206599117" </w:instrText>
      </w:r>
      <w:r>
        <w:rPr>
          <w:color w:val="auto"/>
          <w:highlight w:val="none"/>
        </w:rPr>
        <w:fldChar w:fldCharType="separate"/>
      </w:r>
      <w:r>
        <w:rPr>
          <w:rStyle w:val="20"/>
          <w:rFonts w:ascii="黑体" w:hAnsi="黑体" w:eastAsia="黑体"/>
          <w:b/>
          <w:color w:val="auto"/>
          <w:highlight w:val="none"/>
        </w:rPr>
        <w:t xml:space="preserve">1. </w:t>
      </w:r>
      <w:r>
        <w:rPr>
          <w:rStyle w:val="20"/>
          <w:rFonts w:hint="eastAsia" w:ascii="黑体" w:hAnsi="黑体" w:eastAsia="黑体"/>
          <w:b/>
          <w:color w:val="auto"/>
          <w:highlight w:val="none"/>
        </w:rPr>
        <w:t>采购项目、标段（包）划分、投标报价</w:t>
      </w:r>
      <w:r>
        <w:rPr>
          <w:color w:val="auto"/>
          <w:highlight w:val="none"/>
        </w:rPr>
        <w:tab/>
      </w:r>
      <w:r>
        <w:rPr>
          <w:color w:val="auto"/>
          <w:highlight w:val="none"/>
        </w:rPr>
        <w:fldChar w:fldCharType="begin"/>
      </w:r>
      <w:r>
        <w:rPr>
          <w:color w:val="auto"/>
          <w:highlight w:val="none"/>
        </w:rPr>
        <w:instrText xml:space="preserve"> PAGEREF _Toc206599117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2A482D32">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"_Toc206599118" </w:instrText>
      </w:r>
      <w:r>
        <w:rPr>
          <w:color w:val="auto"/>
          <w:highlight w:val="none"/>
        </w:rPr>
        <w:fldChar w:fldCharType="separate"/>
      </w:r>
      <w:r>
        <w:rPr>
          <w:rStyle w:val="20"/>
          <w:rFonts w:ascii="黑体" w:hAnsi="黑体" w:eastAsia="黑体"/>
          <w:b/>
          <w:color w:val="auto"/>
          <w:highlight w:val="none"/>
        </w:rPr>
        <w:t xml:space="preserve">2. </w:t>
      </w:r>
      <w:r>
        <w:rPr>
          <w:rStyle w:val="20"/>
          <w:rFonts w:hint="eastAsia" w:ascii="黑体" w:hAnsi="黑体" w:eastAsia="黑体"/>
          <w:b/>
          <w:color w:val="auto"/>
          <w:highlight w:val="none"/>
        </w:rPr>
        <w:t>标段（包）内容（范围）及服务要求</w:t>
      </w:r>
      <w:r>
        <w:rPr>
          <w:color w:val="auto"/>
          <w:highlight w:val="none"/>
        </w:rPr>
        <w:tab/>
      </w:r>
      <w:r>
        <w:rPr>
          <w:color w:val="auto"/>
          <w:highlight w:val="none"/>
        </w:rPr>
        <w:fldChar w:fldCharType="begin"/>
      </w:r>
      <w:r>
        <w:rPr>
          <w:color w:val="auto"/>
          <w:highlight w:val="none"/>
        </w:rPr>
        <w:instrText xml:space="preserve"> PAGEREF _Toc206599118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4B7DD8A1">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"_Toc206599119" </w:instrText>
      </w:r>
      <w:r>
        <w:rPr>
          <w:color w:val="auto"/>
          <w:highlight w:val="none"/>
        </w:rPr>
        <w:fldChar w:fldCharType="separate"/>
      </w:r>
      <w:r>
        <w:rPr>
          <w:rStyle w:val="20"/>
          <w:rFonts w:ascii="黑体" w:hAnsi="黑体" w:eastAsia="黑体"/>
          <w:b/>
          <w:color w:val="auto"/>
          <w:highlight w:val="none"/>
        </w:rPr>
        <w:t xml:space="preserve">3. </w:t>
      </w:r>
      <w:r>
        <w:rPr>
          <w:rStyle w:val="20"/>
          <w:rFonts w:hint="eastAsia" w:ascii="黑体" w:hAnsi="黑体" w:eastAsia="黑体"/>
          <w:b/>
          <w:color w:val="auto"/>
          <w:highlight w:val="none"/>
        </w:rPr>
        <w:t>项目其他要求</w:t>
      </w:r>
      <w:r>
        <w:rPr>
          <w:color w:val="auto"/>
          <w:highlight w:val="none"/>
        </w:rPr>
        <w:tab/>
      </w:r>
      <w:r>
        <w:rPr>
          <w:color w:val="auto"/>
          <w:highlight w:val="none"/>
        </w:rPr>
        <w:fldChar w:fldCharType="begin"/>
      </w:r>
      <w:r>
        <w:rPr>
          <w:color w:val="auto"/>
          <w:highlight w:val="none"/>
        </w:rPr>
        <w:instrText xml:space="preserve"> PAGEREF _Toc206599119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329A7A92">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"_Toc206599120" </w:instrText>
      </w:r>
      <w:r>
        <w:rPr>
          <w:color w:val="auto"/>
          <w:highlight w:val="none"/>
        </w:rPr>
        <w:fldChar w:fldCharType="separate"/>
      </w:r>
      <w:r>
        <w:rPr>
          <w:rStyle w:val="20"/>
          <w:rFonts w:hint="eastAsia" w:eastAsia="黑体"/>
          <w:b/>
          <w:color w:val="auto"/>
          <w:highlight w:val="none"/>
        </w:rPr>
        <w:t>第三章</w:t>
      </w:r>
      <w:r>
        <w:rPr>
          <w:rStyle w:val="20"/>
          <w:rFonts w:eastAsia="黑体"/>
          <w:b/>
          <w:color w:val="auto"/>
          <w:highlight w:val="none"/>
        </w:rPr>
        <w:t xml:space="preserve"> </w:t>
      </w:r>
      <w:r>
        <w:rPr>
          <w:rStyle w:val="20"/>
          <w:rFonts w:hint="eastAsia" w:eastAsia="黑体"/>
          <w:b/>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_Toc206599120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415667DA">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"_Toc206599121" </w:instrText>
      </w:r>
      <w:r>
        <w:rPr>
          <w:color w:val="auto"/>
          <w:highlight w:val="none"/>
        </w:rPr>
        <w:fldChar w:fldCharType="separate"/>
      </w:r>
      <w:r>
        <w:rPr>
          <w:rStyle w:val="20"/>
          <w:rFonts w:hint="eastAsia" w:eastAsia="黑体"/>
          <w:b/>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_Toc206599121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605A6A43">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"_Toc206599122" </w:instrText>
      </w:r>
      <w:r>
        <w:rPr>
          <w:color w:val="auto"/>
          <w:highlight w:val="none"/>
        </w:rPr>
        <w:fldChar w:fldCharType="separate"/>
      </w:r>
      <w:r>
        <w:rPr>
          <w:rStyle w:val="20"/>
          <w:rFonts w:ascii="黑体" w:hAnsi="黑体" w:eastAsia="黑体" w:cs="楷体_GB2312"/>
          <w:b/>
          <w:bCs/>
          <w:color w:val="auto"/>
          <w:highlight w:val="none"/>
          <w:lang w:val="zh-CN"/>
        </w:rPr>
        <w:t xml:space="preserve">1. </w:t>
      </w:r>
      <w:r>
        <w:rPr>
          <w:rStyle w:val="20"/>
          <w:rFonts w:hint="eastAsia" w:ascii="黑体" w:hAnsi="黑体" w:eastAsia="黑体" w:cs="楷体_GB2312"/>
          <w:b/>
          <w:bCs/>
          <w:color w:val="auto"/>
          <w:highlight w:val="none"/>
          <w:lang w:val="zh-CN"/>
        </w:rPr>
        <w:t>总则</w:t>
      </w:r>
      <w:r>
        <w:rPr>
          <w:color w:val="auto"/>
          <w:highlight w:val="none"/>
        </w:rPr>
        <w:tab/>
      </w:r>
      <w:r>
        <w:rPr>
          <w:color w:val="auto"/>
          <w:highlight w:val="none"/>
        </w:rPr>
        <w:fldChar w:fldCharType="begin"/>
      </w:r>
      <w:r>
        <w:rPr>
          <w:color w:val="auto"/>
          <w:highlight w:val="none"/>
        </w:rPr>
        <w:instrText xml:space="preserve"> PAGEREF _Toc206599122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62B78B8B">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"_Toc206599123" </w:instrText>
      </w:r>
      <w:r>
        <w:rPr>
          <w:color w:val="auto"/>
          <w:highlight w:val="none"/>
        </w:rPr>
        <w:fldChar w:fldCharType="separate"/>
      </w:r>
      <w:r>
        <w:rPr>
          <w:rStyle w:val="20"/>
          <w:rFonts w:ascii="黑体" w:hAnsi="黑体" w:eastAsia="黑体" w:cs="楷体_GB2312"/>
          <w:b/>
          <w:bCs/>
          <w:color w:val="auto"/>
          <w:highlight w:val="none"/>
          <w:lang w:val="zh-CN"/>
        </w:rPr>
        <w:t xml:space="preserve">2. </w:t>
      </w:r>
      <w:r>
        <w:rPr>
          <w:rStyle w:val="20"/>
          <w:rFonts w:hint="eastAsia" w:ascii="黑体" w:hAnsi="黑体" w:eastAsia="黑体" w:cs="楷体_GB2312"/>
          <w:b/>
          <w:bCs/>
          <w:color w:val="auto"/>
          <w:highlight w:val="none"/>
          <w:lang w:val="zh-CN"/>
        </w:rPr>
        <w:t>谈判文件</w:t>
      </w:r>
      <w:r>
        <w:rPr>
          <w:color w:val="auto"/>
          <w:highlight w:val="none"/>
        </w:rPr>
        <w:tab/>
      </w:r>
      <w:r>
        <w:rPr>
          <w:color w:val="auto"/>
          <w:highlight w:val="none"/>
        </w:rPr>
        <w:fldChar w:fldCharType="begin"/>
      </w:r>
      <w:r>
        <w:rPr>
          <w:color w:val="auto"/>
          <w:highlight w:val="none"/>
        </w:rPr>
        <w:instrText xml:space="preserve"> PAGEREF _Toc206599123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364E249B">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"_Toc206599124" </w:instrText>
      </w:r>
      <w:r>
        <w:rPr>
          <w:color w:val="auto"/>
          <w:highlight w:val="none"/>
        </w:rPr>
        <w:fldChar w:fldCharType="separate"/>
      </w:r>
      <w:r>
        <w:rPr>
          <w:rStyle w:val="20"/>
          <w:rFonts w:ascii="黑体" w:hAnsi="黑体" w:eastAsia="黑体" w:cs="楷体_GB2312"/>
          <w:b/>
          <w:bCs/>
          <w:color w:val="auto"/>
          <w:highlight w:val="none"/>
          <w:lang w:val="zh-CN"/>
        </w:rPr>
        <w:t xml:space="preserve">3. </w:t>
      </w:r>
      <w:r>
        <w:rPr>
          <w:rStyle w:val="20"/>
          <w:rFonts w:hint="eastAsia" w:ascii="黑体" w:hAnsi="黑体" w:eastAsia="黑体" w:cs="楷体_GB2312"/>
          <w:b/>
          <w:bCs/>
          <w:color w:val="auto"/>
          <w:highlight w:val="none"/>
          <w:lang w:val="zh-CN"/>
        </w:rPr>
        <w:t>投标文件（响应文件）</w:t>
      </w:r>
      <w:r>
        <w:rPr>
          <w:color w:val="auto"/>
          <w:highlight w:val="none"/>
        </w:rPr>
        <w:tab/>
      </w:r>
      <w:r>
        <w:rPr>
          <w:color w:val="auto"/>
          <w:highlight w:val="none"/>
        </w:rPr>
        <w:fldChar w:fldCharType="begin"/>
      </w:r>
      <w:r>
        <w:rPr>
          <w:color w:val="auto"/>
          <w:highlight w:val="none"/>
        </w:rPr>
        <w:instrText xml:space="preserve"> PAGEREF _Toc206599124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24B9B06D">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"_Toc206599125" </w:instrText>
      </w:r>
      <w:r>
        <w:rPr>
          <w:color w:val="auto"/>
          <w:highlight w:val="none"/>
        </w:rPr>
        <w:fldChar w:fldCharType="separate"/>
      </w:r>
      <w:r>
        <w:rPr>
          <w:rStyle w:val="20"/>
          <w:rFonts w:ascii="黑体" w:hAnsi="黑体" w:eastAsia="黑体" w:cs="楷体_GB2312"/>
          <w:b/>
          <w:bCs/>
          <w:color w:val="auto"/>
          <w:highlight w:val="none"/>
          <w:lang w:val="zh-CN"/>
        </w:rPr>
        <w:t xml:space="preserve">4. </w:t>
      </w:r>
      <w:r>
        <w:rPr>
          <w:rStyle w:val="20"/>
          <w:rFonts w:hint="eastAsia" w:ascii="黑体" w:hAnsi="黑体" w:eastAsia="黑体" w:cs="楷体_GB2312"/>
          <w:b/>
          <w:bCs/>
          <w:color w:val="auto"/>
          <w:highlight w:val="none"/>
          <w:lang w:val="zh-CN"/>
        </w:rPr>
        <w:t>投标（响应文件的递交）</w:t>
      </w:r>
      <w:r>
        <w:rPr>
          <w:color w:val="auto"/>
          <w:highlight w:val="none"/>
        </w:rPr>
        <w:tab/>
      </w:r>
      <w:r>
        <w:rPr>
          <w:color w:val="auto"/>
          <w:highlight w:val="none"/>
        </w:rPr>
        <w:fldChar w:fldCharType="begin"/>
      </w:r>
      <w:r>
        <w:rPr>
          <w:color w:val="auto"/>
          <w:highlight w:val="none"/>
        </w:rPr>
        <w:instrText xml:space="preserve"> PAGEREF _Toc206599125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5D030559">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"_Toc206599126" </w:instrText>
      </w:r>
      <w:r>
        <w:rPr>
          <w:color w:val="auto"/>
          <w:highlight w:val="none"/>
        </w:rPr>
        <w:fldChar w:fldCharType="separate"/>
      </w:r>
      <w:r>
        <w:rPr>
          <w:rStyle w:val="20"/>
          <w:rFonts w:ascii="黑体" w:hAnsi="黑体" w:eastAsia="黑体" w:cs="楷体_GB2312"/>
          <w:b/>
          <w:bCs/>
          <w:color w:val="auto"/>
          <w:highlight w:val="none"/>
          <w:lang w:val="zh-CN"/>
        </w:rPr>
        <w:t xml:space="preserve">5. </w:t>
      </w:r>
      <w:r>
        <w:rPr>
          <w:rStyle w:val="20"/>
          <w:rFonts w:hint="eastAsia" w:ascii="黑体" w:hAnsi="黑体" w:eastAsia="黑体" w:cs="楷体_GB2312"/>
          <w:b/>
          <w:bCs/>
          <w:color w:val="auto"/>
          <w:highlight w:val="none"/>
          <w:lang w:val="zh-CN"/>
        </w:rPr>
        <w:t>开标（响应文件的开启）</w:t>
      </w:r>
      <w:r>
        <w:rPr>
          <w:color w:val="auto"/>
          <w:highlight w:val="none"/>
        </w:rPr>
        <w:tab/>
      </w:r>
      <w:r>
        <w:rPr>
          <w:color w:val="auto"/>
          <w:highlight w:val="none"/>
        </w:rPr>
        <w:fldChar w:fldCharType="begin"/>
      </w:r>
      <w:r>
        <w:rPr>
          <w:color w:val="auto"/>
          <w:highlight w:val="none"/>
        </w:rPr>
        <w:instrText xml:space="preserve"> PAGEREF _Toc206599126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6CA492E5">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"_Toc206599127" </w:instrText>
      </w:r>
      <w:r>
        <w:rPr>
          <w:color w:val="auto"/>
          <w:highlight w:val="none"/>
        </w:rPr>
        <w:fldChar w:fldCharType="separate"/>
      </w:r>
      <w:r>
        <w:rPr>
          <w:rStyle w:val="20"/>
          <w:rFonts w:ascii="黑体" w:hAnsi="黑体" w:eastAsia="黑体" w:cs="楷体_GB2312"/>
          <w:b/>
          <w:bCs/>
          <w:color w:val="auto"/>
          <w:highlight w:val="none"/>
          <w:lang w:val="zh-CN"/>
        </w:rPr>
        <w:t xml:space="preserve">6. </w:t>
      </w:r>
      <w:r>
        <w:rPr>
          <w:rStyle w:val="20"/>
          <w:rFonts w:hint="eastAsia" w:ascii="黑体" w:hAnsi="黑体" w:eastAsia="黑体" w:cs="楷体_GB2312"/>
          <w:b/>
          <w:bCs/>
          <w:color w:val="auto"/>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_Toc206599127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131FFB0F">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"_Toc206599128" </w:instrText>
      </w:r>
      <w:r>
        <w:rPr>
          <w:color w:val="auto"/>
          <w:highlight w:val="none"/>
        </w:rPr>
        <w:fldChar w:fldCharType="separate"/>
      </w:r>
      <w:r>
        <w:rPr>
          <w:rStyle w:val="20"/>
          <w:rFonts w:ascii="黑体" w:hAnsi="黑体" w:eastAsia="黑体" w:cs="楷体_GB2312"/>
          <w:b/>
          <w:bCs/>
          <w:color w:val="auto"/>
          <w:highlight w:val="none"/>
          <w:lang w:val="zh-CN"/>
        </w:rPr>
        <w:t xml:space="preserve">7. </w:t>
      </w:r>
      <w:r>
        <w:rPr>
          <w:rStyle w:val="20"/>
          <w:rFonts w:hint="eastAsia" w:ascii="黑体" w:hAnsi="黑体" w:eastAsia="黑体" w:cs="楷体_GB2312"/>
          <w:b/>
          <w:bCs/>
          <w:color w:val="auto"/>
          <w:highlight w:val="none"/>
          <w:lang w:val="zh-CN"/>
        </w:rPr>
        <w:t>授予合同</w:t>
      </w:r>
      <w:r>
        <w:rPr>
          <w:color w:val="auto"/>
          <w:highlight w:val="none"/>
        </w:rPr>
        <w:tab/>
      </w:r>
      <w:r>
        <w:rPr>
          <w:color w:val="auto"/>
          <w:highlight w:val="none"/>
        </w:rPr>
        <w:fldChar w:fldCharType="begin"/>
      </w:r>
      <w:r>
        <w:rPr>
          <w:color w:val="auto"/>
          <w:highlight w:val="none"/>
        </w:rPr>
        <w:instrText xml:space="preserve"> PAGEREF _Toc206599128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458EFB6E">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"_Toc206599129" </w:instrText>
      </w:r>
      <w:r>
        <w:rPr>
          <w:color w:val="auto"/>
          <w:highlight w:val="none"/>
        </w:rPr>
        <w:fldChar w:fldCharType="separate"/>
      </w:r>
      <w:r>
        <w:rPr>
          <w:rStyle w:val="20"/>
          <w:rFonts w:ascii="黑体" w:hAnsi="黑体" w:eastAsia="黑体" w:cs="楷体_GB2312"/>
          <w:b/>
          <w:bCs/>
          <w:color w:val="auto"/>
          <w:highlight w:val="none"/>
          <w:lang w:val="zh-CN"/>
        </w:rPr>
        <w:t xml:space="preserve">8. </w:t>
      </w:r>
      <w:r>
        <w:rPr>
          <w:rStyle w:val="20"/>
          <w:rFonts w:hint="eastAsia" w:ascii="黑体" w:hAnsi="黑体" w:eastAsia="黑体" w:cs="楷体_GB2312"/>
          <w:b/>
          <w:bCs/>
          <w:color w:val="auto"/>
          <w:highlight w:val="none"/>
          <w:lang w:val="zh-CN"/>
        </w:rPr>
        <w:t>验收</w:t>
      </w:r>
      <w:r>
        <w:rPr>
          <w:color w:val="auto"/>
          <w:highlight w:val="none"/>
        </w:rPr>
        <w:tab/>
      </w:r>
      <w:r>
        <w:rPr>
          <w:color w:val="auto"/>
          <w:highlight w:val="none"/>
        </w:rPr>
        <w:fldChar w:fldCharType="begin"/>
      </w:r>
      <w:r>
        <w:rPr>
          <w:color w:val="auto"/>
          <w:highlight w:val="none"/>
        </w:rPr>
        <w:instrText xml:space="preserve"> PAGEREF _Toc206599129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AAA3AE2">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"_Toc206599130" </w:instrText>
      </w:r>
      <w:r>
        <w:rPr>
          <w:color w:val="auto"/>
          <w:highlight w:val="none"/>
        </w:rPr>
        <w:fldChar w:fldCharType="separate"/>
      </w:r>
      <w:r>
        <w:rPr>
          <w:rStyle w:val="20"/>
          <w:rFonts w:ascii="黑体" w:hAnsi="黑体" w:eastAsia="黑体" w:cs="楷体_GB2312"/>
          <w:b/>
          <w:bCs/>
          <w:color w:val="auto"/>
          <w:highlight w:val="none"/>
          <w:lang w:val="zh-CN"/>
        </w:rPr>
        <w:t>9.</w:t>
      </w:r>
      <w:r>
        <w:rPr>
          <w:rStyle w:val="20"/>
          <w:rFonts w:hint="eastAsia" w:ascii="黑体" w:hAnsi="黑体" w:eastAsia="黑体" w:cs="楷体_GB2312"/>
          <w:b/>
          <w:bCs/>
          <w:color w:val="auto"/>
          <w:highlight w:val="none"/>
          <w:lang w:val="zh-CN"/>
        </w:rPr>
        <w:t>付款</w:t>
      </w:r>
      <w:r>
        <w:rPr>
          <w:color w:val="auto"/>
          <w:highlight w:val="none"/>
        </w:rPr>
        <w:tab/>
      </w:r>
      <w:r>
        <w:rPr>
          <w:color w:val="auto"/>
          <w:highlight w:val="none"/>
        </w:rPr>
        <w:fldChar w:fldCharType="begin"/>
      </w:r>
      <w:r>
        <w:rPr>
          <w:color w:val="auto"/>
          <w:highlight w:val="none"/>
        </w:rPr>
        <w:instrText xml:space="preserve"> PAGEREF _Toc206599130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5F09731B">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"_Toc206599131" </w:instrText>
      </w:r>
      <w:r>
        <w:rPr>
          <w:color w:val="auto"/>
          <w:highlight w:val="none"/>
        </w:rPr>
        <w:fldChar w:fldCharType="separate"/>
      </w:r>
      <w:r>
        <w:rPr>
          <w:rStyle w:val="20"/>
          <w:rFonts w:ascii="黑体" w:hAnsi="黑体" w:eastAsia="黑体" w:cs="楷体_GB2312"/>
          <w:b/>
          <w:bCs/>
          <w:color w:val="auto"/>
          <w:highlight w:val="none"/>
          <w:lang w:val="zh-CN"/>
        </w:rPr>
        <w:t xml:space="preserve">10. </w:t>
      </w:r>
      <w:r>
        <w:rPr>
          <w:rStyle w:val="20"/>
          <w:rFonts w:hint="eastAsia" w:ascii="黑体" w:hAnsi="黑体" w:eastAsia="黑体" w:cs="楷体_GB2312"/>
          <w:b/>
          <w:bCs/>
          <w:color w:val="auto"/>
          <w:highlight w:val="none"/>
          <w:lang w:val="zh-CN"/>
        </w:rPr>
        <w:t>其他</w:t>
      </w:r>
      <w:r>
        <w:rPr>
          <w:color w:val="auto"/>
          <w:highlight w:val="none"/>
        </w:rPr>
        <w:tab/>
      </w:r>
      <w:r>
        <w:rPr>
          <w:color w:val="auto"/>
          <w:highlight w:val="none"/>
        </w:rPr>
        <w:fldChar w:fldCharType="begin"/>
      </w:r>
      <w:r>
        <w:rPr>
          <w:color w:val="auto"/>
          <w:highlight w:val="none"/>
        </w:rPr>
        <w:instrText xml:space="preserve"> PAGEREF _Toc206599131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551176AC">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"_Toc206599132" </w:instrText>
      </w:r>
      <w:r>
        <w:rPr>
          <w:color w:val="auto"/>
          <w:highlight w:val="none"/>
        </w:rPr>
        <w:fldChar w:fldCharType="separate"/>
      </w:r>
      <w:r>
        <w:rPr>
          <w:rStyle w:val="20"/>
          <w:rFonts w:ascii="黑体" w:hAnsi="黑体" w:eastAsia="黑体" w:cs="楷体_GB2312"/>
          <w:b/>
          <w:bCs/>
          <w:color w:val="auto"/>
          <w:highlight w:val="none"/>
          <w:lang w:val="zh-CN"/>
        </w:rPr>
        <w:t xml:space="preserve">11. </w:t>
      </w:r>
      <w:r>
        <w:rPr>
          <w:rStyle w:val="20"/>
          <w:rFonts w:hint="eastAsia" w:ascii="黑体" w:hAnsi="黑体" w:eastAsia="黑体" w:cs="楷体_GB2312"/>
          <w:b/>
          <w:bCs/>
          <w:color w:val="auto"/>
          <w:highlight w:val="none"/>
          <w:lang w:val="zh-CN"/>
        </w:rPr>
        <w:t>河南省政府采购合同融资政策告知函</w:t>
      </w:r>
      <w:r>
        <w:rPr>
          <w:color w:val="auto"/>
          <w:highlight w:val="none"/>
        </w:rPr>
        <w:tab/>
      </w:r>
      <w:r>
        <w:rPr>
          <w:color w:val="auto"/>
          <w:highlight w:val="none"/>
        </w:rPr>
        <w:fldChar w:fldCharType="begin"/>
      </w:r>
      <w:r>
        <w:rPr>
          <w:color w:val="auto"/>
          <w:highlight w:val="none"/>
        </w:rPr>
        <w:instrText xml:space="preserve"> PAGEREF _Toc206599132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198DFB3E">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"_Toc206599133" </w:instrText>
      </w:r>
      <w:r>
        <w:rPr>
          <w:color w:val="auto"/>
          <w:highlight w:val="none"/>
        </w:rPr>
        <w:fldChar w:fldCharType="separate"/>
      </w:r>
      <w:r>
        <w:rPr>
          <w:rStyle w:val="20"/>
          <w:rFonts w:hint="eastAsia" w:ascii="黑体" w:hAnsi="黑体" w:eastAsia="黑体"/>
          <w:b/>
          <w:color w:val="auto"/>
          <w:highlight w:val="none"/>
          <w:lang w:val="zh-CN"/>
        </w:rPr>
        <w:t>第四章</w:t>
      </w:r>
      <w:r>
        <w:rPr>
          <w:rStyle w:val="20"/>
          <w:rFonts w:ascii="黑体" w:hAnsi="黑体" w:eastAsia="黑体"/>
          <w:b/>
          <w:color w:val="auto"/>
          <w:highlight w:val="none"/>
          <w:lang w:val="zh-CN"/>
        </w:rPr>
        <w:t xml:space="preserve"> </w:t>
      </w:r>
      <w:r>
        <w:rPr>
          <w:rStyle w:val="20"/>
          <w:rFonts w:hint="eastAsia" w:ascii="黑体" w:hAnsi="黑体" w:eastAsia="黑体"/>
          <w:b/>
          <w:color w:val="auto"/>
          <w:highlight w:val="none"/>
          <w:lang w:val="zh-CN"/>
        </w:rPr>
        <w:t>评审办法</w:t>
      </w:r>
      <w:r>
        <w:rPr>
          <w:color w:val="auto"/>
          <w:highlight w:val="none"/>
        </w:rPr>
        <w:tab/>
      </w:r>
      <w:r>
        <w:rPr>
          <w:color w:val="auto"/>
          <w:highlight w:val="none"/>
        </w:rPr>
        <w:fldChar w:fldCharType="begin"/>
      </w:r>
      <w:r>
        <w:rPr>
          <w:color w:val="auto"/>
          <w:highlight w:val="none"/>
        </w:rPr>
        <w:instrText xml:space="preserve"> PAGEREF _Toc206599133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415B32CD">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"_Toc206599134" </w:instrText>
      </w:r>
      <w:r>
        <w:rPr>
          <w:color w:val="auto"/>
          <w:highlight w:val="none"/>
        </w:rPr>
        <w:fldChar w:fldCharType="separate"/>
      </w:r>
      <w:r>
        <w:rPr>
          <w:rStyle w:val="20"/>
          <w:rFonts w:hint="eastAsia" w:ascii="黑体" w:hAnsi="黑体" w:eastAsia="黑体"/>
          <w:b/>
          <w:color w:val="auto"/>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_Toc206599134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29703C01">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"_Toc206599135" </w:instrText>
      </w:r>
      <w:r>
        <w:rPr>
          <w:color w:val="auto"/>
          <w:highlight w:val="none"/>
        </w:rPr>
        <w:fldChar w:fldCharType="separate"/>
      </w:r>
      <w:r>
        <w:rPr>
          <w:rStyle w:val="20"/>
          <w:rFonts w:ascii="黑体" w:hAnsi="黑体" w:eastAsia="黑体" w:cs="楷体_GB2312"/>
          <w:b/>
          <w:bCs/>
          <w:color w:val="auto"/>
          <w:highlight w:val="none"/>
          <w:lang w:val="zh-CN"/>
        </w:rPr>
        <w:t xml:space="preserve">1. </w:t>
      </w:r>
      <w:r>
        <w:rPr>
          <w:rStyle w:val="20"/>
          <w:rFonts w:hint="eastAsia" w:ascii="黑体" w:hAnsi="黑体" w:eastAsia="黑体" w:cs="楷体_GB2312"/>
          <w:b/>
          <w:bCs/>
          <w:color w:val="auto"/>
          <w:highlight w:val="none"/>
          <w:lang w:val="zh-CN"/>
        </w:rPr>
        <w:t>评审方法（评定成交的标准）</w:t>
      </w:r>
      <w:r>
        <w:rPr>
          <w:color w:val="auto"/>
          <w:highlight w:val="none"/>
        </w:rPr>
        <w:tab/>
      </w:r>
      <w:r>
        <w:rPr>
          <w:color w:val="auto"/>
          <w:highlight w:val="none"/>
        </w:rPr>
        <w:fldChar w:fldCharType="begin"/>
      </w:r>
      <w:r>
        <w:rPr>
          <w:color w:val="auto"/>
          <w:highlight w:val="none"/>
        </w:rPr>
        <w:instrText xml:space="preserve"> PAGEREF _Toc206599135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0CCAC1FE">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"_Toc206599136" </w:instrText>
      </w:r>
      <w:r>
        <w:rPr>
          <w:color w:val="auto"/>
          <w:highlight w:val="none"/>
        </w:rPr>
        <w:fldChar w:fldCharType="separate"/>
      </w:r>
      <w:r>
        <w:rPr>
          <w:rStyle w:val="20"/>
          <w:rFonts w:ascii="黑体" w:hAnsi="黑体" w:eastAsia="黑体" w:cs="楷体_GB2312"/>
          <w:b/>
          <w:bCs/>
          <w:color w:val="auto"/>
          <w:highlight w:val="none"/>
          <w:lang w:val="zh-CN"/>
        </w:rPr>
        <w:t xml:space="preserve">2. </w:t>
      </w:r>
      <w:r>
        <w:rPr>
          <w:rStyle w:val="20"/>
          <w:rFonts w:hint="eastAsia" w:ascii="黑体" w:hAnsi="黑体" w:eastAsia="黑体" w:cs="楷体_GB2312"/>
          <w:b/>
          <w:bCs/>
          <w:color w:val="auto"/>
          <w:highlight w:val="none"/>
          <w:lang w:val="zh-CN"/>
        </w:rPr>
        <w:t>评审标准</w:t>
      </w:r>
      <w:r>
        <w:rPr>
          <w:color w:val="auto"/>
          <w:highlight w:val="none"/>
        </w:rPr>
        <w:tab/>
      </w:r>
      <w:r>
        <w:rPr>
          <w:color w:val="auto"/>
          <w:highlight w:val="none"/>
        </w:rPr>
        <w:fldChar w:fldCharType="begin"/>
      </w:r>
      <w:r>
        <w:rPr>
          <w:color w:val="auto"/>
          <w:highlight w:val="none"/>
        </w:rPr>
        <w:instrText xml:space="preserve"> PAGEREF _Toc206599136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169F0283">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"_Toc206599137" </w:instrText>
      </w:r>
      <w:r>
        <w:rPr>
          <w:color w:val="auto"/>
          <w:highlight w:val="none"/>
        </w:rPr>
        <w:fldChar w:fldCharType="separate"/>
      </w:r>
      <w:r>
        <w:rPr>
          <w:rStyle w:val="20"/>
          <w:rFonts w:ascii="黑体" w:hAnsi="黑体" w:eastAsia="黑体" w:cs="楷体_GB2312"/>
          <w:b/>
          <w:bCs/>
          <w:color w:val="auto"/>
          <w:highlight w:val="none"/>
          <w:lang w:val="zh-CN"/>
        </w:rPr>
        <w:t xml:space="preserve">3. </w:t>
      </w:r>
      <w:r>
        <w:rPr>
          <w:rStyle w:val="20"/>
          <w:rFonts w:hint="eastAsia" w:ascii="黑体" w:hAnsi="黑体" w:eastAsia="黑体" w:cs="楷体_GB2312"/>
          <w:b/>
          <w:bCs/>
          <w:color w:val="auto"/>
          <w:highlight w:val="none"/>
          <w:lang w:val="zh-CN"/>
        </w:rPr>
        <w:t>评审程序</w:t>
      </w:r>
      <w:r>
        <w:rPr>
          <w:color w:val="auto"/>
          <w:highlight w:val="none"/>
        </w:rPr>
        <w:tab/>
      </w:r>
      <w:r>
        <w:rPr>
          <w:color w:val="auto"/>
          <w:highlight w:val="none"/>
        </w:rPr>
        <w:fldChar w:fldCharType="begin"/>
      </w:r>
      <w:r>
        <w:rPr>
          <w:color w:val="auto"/>
          <w:highlight w:val="none"/>
        </w:rPr>
        <w:instrText xml:space="preserve"> PAGEREF _Toc206599137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489C7A07">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"_Toc206599138" </w:instrText>
      </w:r>
      <w:r>
        <w:rPr>
          <w:color w:val="auto"/>
          <w:highlight w:val="none"/>
        </w:rPr>
        <w:fldChar w:fldCharType="separate"/>
      </w:r>
      <w:r>
        <w:rPr>
          <w:rStyle w:val="20"/>
          <w:rFonts w:ascii="黑体" w:hAnsi="黑体" w:eastAsia="黑体" w:cs="楷体_GB2312"/>
          <w:b/>
          <w:bCs/>
          <w:color w:val="auto"/>
          <w:highlight w:val="none"/>
          <w:lang w:val="zh-CN"/>
        </w:rPr>
        <w:t xml:space="preserve">4. </w:t>
      </w:r>
      <w:r>
        <w:rPr>
          <w:rStyle w:val="20"/>
          <w:rFonts w:hint="eastAsia" w:ascii="黑体" w:hAnsi="黑体" w:eastAsia="黑体" w:cs="楷体_GB2312"/>
          <w:b/>
          <w:bCs/>
          <w:color w:val="auto"/>
          <w:highlight w:val="none"/>
          <w:lang w:val="zh-CN"/>
        </w:rPr>
        <w:t>政府采购促进中小企业发展扶持政策</w:t>
      </w:r>
      <w:r>
        <w:rPr>
          <w:color w:val="auto"/>
          <w:highlight w:val="none"/>
        </w:rPr>
        <w:tab/>
      </w:r>
      <w:r>
        <w:rPr>
          <w:color w:val="auto"/>
          <w:highlight w:val="none"/>
        </w:rPr>
        <w:fldChar w:fldCharType="begin"/>
      </w:r>
      <w:r>
        <w:rPr>
          <w:color w:val="auto"/>
          <w:highlight w:val="none"/>
        </w:rPr>
        <w:instrText xml:space="preserve"> PAGEREF _Toc206599138 \h </w:instrText>
      </w:r>
      <w:r>
        <w:rPr>
          <w:color w:val="auto"/>
          <w:highlight w:val="none"/>
        </w:rPr>
        <w:fldChar w:fldCharType="separate"/>
      </w:r>
      <w:r>
        <w:rPr>
          <w:color w:val="auto"/>
          <w:highlight w:val="none"/>
        </w:rPr>
        <w:t>- 34 -</w:t>
      </w:r>
      <w:r>
        <w:rPr>
          <w:color w:val="auto"/>
          <w:highlight w:val="none"/>
        </w:rPr>
        <w:fldChar w:fldCharType="end"/>
      </w:r>
      <w:r>
        <w:rPr>
          <w:color w:val="auto"/>
          <w:highlight w:val="none"/>
        </w:rPr>
        <w:fldChar w:fldCharType="end"/>
      </w:r>
    </w:p>
    <w:p w14:paraId="0EAF5F7D">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"_Toc206599139" </w:instrText>
      </w:r>
      <w:r>
        <w:rPr>
          <w:color w:val="auto"/>
          <w:highlight w:val="none"/>
        </w:rPr>
        <w:fldChar w:fldCharType="separate"/>
      </w:r>
      <w:r>
        <w:rPr>
          <w:rStyle w:val="20"/>
          <w:rFonts w:hint="eastAsia" w:ascii="黑体" w:eastAsia="黑体"/>
          <w:b/>
          <w:color w:val="auto"/>
          <w:highlight w:val="none"/>
        </w:rPr>
        <w:t>第五章</w:t>
      </w:r>
      <w:r>
        <w:rPr>
          <w:rStyle w:val="20"/>
          <w:rFonts w:ascii="黑体" w:eastAsia="黑体"/>
          <w:b/>
          <w:color w:val="auto"/>
          <w:highlight w:val="none"/>
        </w:rPr>
        <w:t xml:space="preserve"> </w:t>
      </w:r>
      <w:r>
        <w:rPr>
          <w:rStyle w:val="20"/>
          <w:rFonts w:hint="eastAsia" w:ascii="黑体" w:eastAsia="黑体"/>
          <w:b/>
          <w:color w:val="auto"/>
          <w:highlight w:val="none"/>
        </w:rPr>
        <w:t>合同主要条款</w:t>
      </w:r>
      <w:r>
        <w:rPr>
          <w:color w:val="auto"/>
          <w:highlight w:val="none"/>
        </w:rPr>
        <w:tab/>
      </w:r>
      <w:r>
        <w:rPr>
          <w:color w:val="auto"/>
          <w:highlight w:val="none"/>
        </w:rPr>
        <w:fldChar w:fldCharType="begin"/>
      </w:r>
      <w:r>
        <w:rPr>
          <w:color w:val="auto"/>
          <w:highlight w:val="none"/>
        </w:rPr>
        <w:instrText xml:space="preserve"> PAGEREF _Toc206599139 \h </w:instrText>
      </w:r>
      <w:r>
        <w:rPr>
          <w:color w:val="auto"/>
          <w:highlight w:val="none"/>
        </w:rPr>
        <w:fldChar w:fldCharType="separate"/>
      </w:r>
      <w:r>
        <w:rPr>
          <w:color w:val="auto"/>
          <w:highlight w:val="none"/>
        </w:rPr>
        <w:t>- 38 -</w:t>
      </w:r>
      <w:r>
        <w:rPr>
          <w:color w:val="auto"/>
          <w:highlight w:val="none"/>
        </w:rPr>
        <w:fldChar w:fldCharType="end"/>
      </w:r>
      <w:r>
        <w:rPr>
          <w:color w:val="auto"/>
          <w:highlight w:val="none"/>
        </w:rPr>
        <w:fldChar w:fldCharType="end"/>
      </w:r>
    </w:p>
    <w:p w14:paraId="2A0960F9">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"_Toc206599140" </w:instrText>
      </w:r>
      <w:r>
        <w:rPr>
          <w:color w:val="auto"/>
          <w:highlight w:val="none"/>
        </w:rPr>
        <w:fldChar w:fldCharType="separate"/>
      </w:r>
      <w:r>
        <w:rPr>
          <w:rStyle w:val="20"/>
          <w:rFonts w:hint="eastAsia" w:ascii="黑体" w:hAnsi="黑体" w:eastAsia="黑体" w:cs="楷体_GB2312"/>
          <w:b/>
          <w:bCs/>
          <w:color w:val="auto"/>
          <w:highlight w:val="none"/>
          <w:lang w:val="zh-CN"/>
        </w:rPr>
        <w:t>河南省政府采购合同融资政策告知函</w:t>
      </w:r>
      <w:r>
        <w:rPr>
          <w:color w:val="auto"/>
          <w:highlight w:val="none"/>
        </w:rPr>
        <w:tab/>
      </w:r>
      <w:r>
        <w:rPr>
          <w:color w:val="auto"/>
          <w:highlight w:val="none"/>
        </w:rPr>
        <w:fldChar w:fldCharType="begin"/>
      </w:r>
      <w:r>
        <w:rPr>
          <w:color w:val="auto"/>
          <w:highlight w:val="none"/>
        </w:rPr>
        <w:instrText xml:space="preserve"> PAGEREF _Toc206599140 \h </w:instrText>
      </w:r>
      <w:r>
        <w:rPr>
          <w:color w:val="auto"/>
          <w:highlight w:val="none"/>
        </w:rPr>
        <w:fldChar w:fldCharType="separate"/>
      </w:r>
      <w:r>
        <w:rPr>
          <w:color w:val="auto"/>
          <w:highlight w:val="none"/>
        </w:rPr>
        <w:t>- 41 -</w:t>
      </w:r>
      <w:r>
        <w:rPr>
          <w:color w:val="auto"/>
          <w:highlight w:val="none"/>
        </w:rPr>
        <w:fldChar w:fldCharType="end"/>
      </w:r>
      <w:r>
        <w:rPr>
          <w:color w:val="auto"/>
          <w:highlight w:val="none"/>
        </w:rPr>
        <w:fldChar w:fldCharType="end"/>
      </w:r>
    </w:p>
    <w:p w14:paraId="166C4DDB">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"_Toc206599141" </w:instrText>
      </w:r>
      <w:r>
        <w:rPr>
          <w:color w:val="auto"/>
          <w:highlight w:val="none"/>
        </w:rPr>
        <w:fldChar w:fldCharType="separate"/>
      </w:r>
      <w:r>
        <w:rPr>
          <w:rStyle w:val="20"/>
          <w:rFonts w:hint="eastAsia" w:ascii="黑体" w:hAnsi="黑体" w:eastAsia="黑体"/>
          <w:b/>
          <w:color w:val="auto"/>
          <w:highlight w:val="none"/>
          <w:lang w:val="zh-CN"/>
        </w:rPr>
        <w:t>第六章</w:t>
      </w:r>
      <w:r>
        <w:rPr>
          <w:rStyle w:val="20"/>
          <w:rFonts w:ascii="黑体" w:hAnsi="黑体" w:eastAsia="黑体"/>
          <w:b/>
          <w:color w:val="auto"/>
          <w:highlight w:val="none"/>
          <w:lang w:val="zh-CN"/>
        </w:rPr>
        <w:t xml:space="preserve"> </w:t>
      </w:r>
      <w:r>
        <w:rPr>
          <w:rStyle w:val="20"/>
          <w:rFonts w:hint="eastAsia" w:ascii="黑体" w:hAnsi="黑体" w:eastAsia="黑体"/>
          <w:b/>
          <w:color w:val="auto"/>
          <w:highlight w:val="none"/>
          <w:lang w:val="zh-CN"/>
        </w:rPr>
        <w:t>投标文件格式</w:t>
      </w:r>
      <w:r>
        <w:rPr>
          <w:color w:val="auto"/>
          <w:highlight w:val="none"/>
        </w:rPr>
        <w:tab/>
      </w:r>
      <w:r>
        <w:rPr>
          <w:color w:val="auto"/>
          <w:highlight w:val="none"/>
        </w:rPr>
        <w:fldChar w:fldCharType="begin"/>
      </w:r>
      <w:r>
        <w:rPr>
          <w:color w:val="auto"/>
          <w:highlight w:val="none"/>
        </w:rPr>
        <w:instrText xml:space="preserve"> PAGEREF _Toc206599141 \h </w:instrText>
      </w:r>
      <w:r>
        <w:rPr>
          <w:color w:val="auto"/>
          <w:highlight w:val="none"/>
        </w:rPr>
        <w:fldChar w:fldCharType="separate"/>
      </w:r>
      <w:r>
        <w:rPr>
          <w:color w:val="auto"/>
          <w:highlight w:val="none"/>
        </w:rPr>
        <w:t>- 42 -</w:t>
      </w:r>
      <w:r>
        <w:rPr>
          <w:color w:val="auto"/>
          <w:highlight w:val="none"/>
        </w:rPr>
        <w:fldChar w:fldCharType="end"/>
      </w:r>
      <w:r>
        <w:rPr>
          <w:color w:val="auto"/>
          <w:highlight w:val="none"/>
        </w:rPr>
        <w:fldChar w:fldCharType="end"/>
      </w:r>
    </w:p>
    <w:p w14:paraId="598FDE77">
      <w:pPr>
        <w:rPr>
          <w:color w:val="auto"/>
          <w:highlight w:val="none"/>
        </w:rPr>
      </w:pPr>
      <w:r>
        <w:rPr>
          <w:color w:val="auto"/>
          <w:highlight w:val="none"/>
        </w:rPr>
        <w:fldChar w:fldCharType="end"/>
      </w:r>
    </w:p>
    <w:p w14:paraId="1EFAA1BD">
      <w:pPr>
        <w:widowControl w:val="0"/>
        <w:snapToGrid w:val="0"/>
        <w:spacing w:line="660" w:lineRule="exact"/>
        <w:ind w:firstLine="607" w:firstLineChars="168"/>
        <w:rPr>
          <w:rFonts w:ascii="黑体" w:hAnsi="黑体" w:eastAsia="黑体"/>
          <w:b/>
          <w:color w:val="auto"/>
          <w:sz w:val="36"/>
          <w:szCs w:val="36"/>
          <w:highlight w:val="none"/>
        </w:rPr>
      </w:pPr>
    </w:p>
    <w:p w14:paraId="0A1604C6">
      <w:pPr>
        <w:widowControl w:val="0"/>
        <w:snapToGrid w:val="0"/>
        <w:spacing w:line="560" w:lineRule="exact"/>
        <w:ind w:firstLine="181" w:firstLineChars="50"/>
        <w:rPr>
          <w:rFonts w:ascii="黑体" w:eastAsia="黑体"/>
          <w:b/>
          <w:color w:val="auto"/>
          <w:sz w:val="36"/>
          <w:szCs w:val="36"/>
          <w:highlight w:val="none"/>
        </w:rPr>
        <w:sectPr>
          <w:pgSz w:w="11905" w:h="16837"/>
          <w:pgMar w:top="1418" w:right="1106" w:bottom="1418" w:left="1418" w:header="567" w:footer="567" w:gutter="0"/>
          <w:pgNumType w:fmt="numberInDash" w:start="0"/>
          <w:cols w:space="720" w:num="1"/>
          <w:titlePg/>
        </w:sectPr>
      </w:pPr>
    </w:p>
    <w:p w14:paraId="009B8435">
      <w:pPr>
        <w:widowControl w:val="0"/>
        <w:snapToGrid w:val="0"/>
        <w:spacing w:line="560" w:lineRule="exact"/>
        <w:jc w:val="left"/>
        <w:rPr>
          <w:rFonts w:ascii="宋体"/>
          <w:b/>
          <w:color w:val="auto"/>
          <w:sz w:val="24"/>
          <w:szCs w:val="24"/>
          <w:highlight w:val="none"/>
        </w:rPr>
      </w:pPr>
    </w:p>
    <w:p w14:paraId="523F292B">
      <w:pPr>
        <w:widowControl w:val="0"/>
        <w:snapToGrid w:val="0"/>
        <w:spacing w:line="560" w:lineRule="exact"/>
        <w:jc w:val="center"/>
        <w:outlineLvl w:val="0"/>
        <w:rPr>
          <w:color w:val="auto"/>
          <w:sz w:val="36"/>
          <w:szCs w:val="36"/>
          <w:highlight w:val="none"/>
        </w:rPr>
      </w:pPr>
      <w:bookmarkStart w:id="0" w:name="_Toc206599115"/>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谈判公告</w:t>
      </w:r>
      <w:bookmarkEnd w:id="0"/>
    </w:p>
    <w:p w14:paraId="4A59D8DE">
      <w:pPr>
        <w:widowControl w:val="0"/>
        <w:snapToGrid w:val="0"/>
        <w:spacing w:line="360" w:lineRule="auto"/>
        <w:ind w:firstLine="566"/>
        <w:rPr>
          <w:color w:val="auto"/>
          <w:sz w:val="28"/>
          <w:szCs w:val="28"/>
          <w:highlight w:val="none"/>
        </w:rPr>
      </w:pPr>
    </w:p>
    <w:p w14:paraId="3AD9096B">
      <w:pPr>
        <w:widowControl w:val="0"/>
        <w:adjustRightInd w:val="0"/>
        <w:snapToGrid w:val="0"/>
        <w:spacing w:line="360" w:lineRule="auto"/>
        <w:ind w:firstLine="632" w:firstLineChars="225"/>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14:paraId="054C04F2">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 xml:space="preserve">项目编号：殷竞谈-2026-5 </w:t>
      </w:r>
    </w:p>
    <w:p w14:paraId="4CFD1139">
      <w:pPr>
        <w:widowControl w:val="0"/>
        <w:adjustRightInd w:val="0"/>
        <w:snapToGrid w:val="0"/>
        <w:spacing w:line="360" w:lineRule="auto"/>
        <w:ind w:firstLine="540" w:firstLineChars="225"/>
        <w:jc w:val="left"/>
        <w:rPr>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项目名称：</w:t>
      </w:r>
      <w:r>
        <w:rPr>
          <w:rFonts w:hint="eastAsia"/>
          <w:color w:val="auto"/>
          <w:sz w:val="24"/>
          <w:szCs w:val="24"/>
          <w:highlight w:val="none"/>
        </w:rPr>
        <w:t>安阳市殷都区公路事业发展中心保洁养护作业车辆定点维修保养项目</w:t>
      </w:r>
    </w:p>
    <w:p w14:paraId="3E95FA48">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1.3采购方式：竞争性谈判</w:t>
      </w:r>
    </w:p>
    <w:p w14:paraId="716CB4D6">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4预算金额：91.1万元</w:t>
      </w:r>
      <w:r>
        <w:rPr>
          <w:rFonts w:ascii="宋体" w:hAnsi="宋体"/>
          <w:color w:val="auto"/>
          <w:sz w:val="24"/>
          <w:szCs w:val="24"/>
          <w:highlight w:val="none"/>
        </w:rPr>
        <w:t xml:space="preserve"> </w:t>
      </w:r>
    </w:p>
    <w:p w14:paraId="1BCACFD7">
      <w:pPr>
        <w:adjustRightInd w:val="0"/>
        <w:snapToGrid w:val="0"/>
        <w:spacing w:line="360" w:lineRule="auto"/>
        <w:ind w:firstLine="540" w:firstLineChars="225"/>
        <w:rPr>
          <w:rFonts w:ascii="宋体"/>
          <w:b/>
          <w:color w:val="auto"/>
          <w:szCs w:val="21"/>
          <w:highlight w:val="none"/>
        </w:rPr>
      </w:pPr>
      <w:r>
        <w:rPr>
          <w:rFonts w:hint="eastAsia" w:ascii="宋体" w:hAnsi="宋体"/>
          <w:color w:val="auto"/>
          <w:sz w:val="24"/>
          <w:szCs w:val="24"/>
          <w:highlight w:val="none"/>
        </w:rPr>
        <w:t>1.5采购需求：保洁养护作业车辆定点维修保养服务，技术参数详见《谈判文件》“基本技术要求”</w:t>
      </w:r>
      <w:r>
        <w:rPr>
          <w:rFonts w:hint="eastAsia"/>
          <w:color w:val="auto"/>
          <w:sz w:val="24"/>
          <w:szCs w:val="24"/>
          <w:highlight w:val="none"/>
        </w:rPr>
        <w:t>。</w:t>
      </w:r>
    </w:p>
    <w:p w14:paraId="4A73152D">
      <w:pPr>
        <w:adjustRightInd w:val="0"/>
        <w:snapToGrid w:val="0"/>
        <w:spacing w:line="360" w:lineRule="auto"/>
        <w:ind w:firstLine="540" w:firstLineChars="225"/>
        <w:rPr>
          <w:color w:val="auto"/>
          <w:sz w:val="24"/>
          <w:szCs w:val="24"/>
          <w:highlight w:val="none"/>
        </w:rPr>
      </w:pPr>
      <w:r>
        <w:rPr>
          <w:rFonts w:hint="eastAsia" w:ascii="宋体" w:hAnsi="宋体"/>
          <w:color w:val="auto"/>
          <w:sz w:val="24"/>
          <w:szCs w:val="24"/>
          <w:highlight w:val="none"/>
        </w:rPr>
        <w:t>1.6合同履行期限：</w:t>
      </w:r>
      <w:r>
        <w:rPr>
          <w:rFonts w:hint="eastAsia"/>
          <w:color w:val="auto"/>
          <w:sz w:val="24"/>
          <w:szCs w:val="24"/>
          <w:highlight w:val="none"/>
        </w:rPr>
        <w:t>合同签订日起</w:t>
      </w:r>
      <w:r>
        <w:rPr>
          <w:rFonts w:hint="eastAsia" w:ascii="宋体" w:hAnsi="宋体"/>
          <w:color w:val="auto"/>
          <w:sz w:val="24"/>
          <w:szCs w:val="24"/>
          <w:highlight w:val="none"/>
        </w:rPr>
        <w:t>1年</w:t>
      </w:r>
    </w:p>
    <w:p w14:paraId="6A204C39">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1.7本项目（是/否）接受联合体投标：否</w:t>
      </w:r>
    </w:p>
    <w:p w14:paraId="5FAE1090">
      <w:pPr>
        <w:widowControl w:val="0"/>
        <w:adjustRightInd w:val="0"/>
        <w:snapToGrid w:val="0"/>
        <w:spacing w:line="360" w:lineRule="auto"/>
        <w:ind w:firstLine="540" w:firstLineChars="225"/>
        <w:jc w:val="left"/>
        <w:rPr>
          <w:rFonts w:ascii="宋体"/>
          <w:color w:val="auto"/>
          <w:sz w:val="24"/>
          <w:szCs w:val="24"/>
          <w:highlight w:val="none"/>
        </w:rPr>
      </w:pPr>
      <w:r>
        <w:rPr>
          <w:rFonts w:hint="eastAsia" w:ascii="宋体" w:hAnsi="宋体"/>
          <w:color w:val="auto"/>
          <w:sz w:val="24"/>
          <w:szCs w:val="24"/>
          <w:highlight w:val="none"/>
        </w:rPr>
        <w:t>1.8是否接受进口产品：否</w:t>
      </w:r>
    </w:p>
    <w:p w14:paraId="2D3B3925">
      <w:pPr>
        <w:widowControl w:val="0"/>
        <w:snapToGrid w:val="0"/>
        <w:spacing w:line="360" w:lineRule="auto"/>
        <w:ind w:firstLine="566"/>
        <w:rPr>
          <w:color w:val="auto"/>
          <w:sz w:val="28"/>
          <w:szCs w:val="28"/>
          <w:highlight w:val="none"/>
        </w:rPr>
      </w:pPr>
    </w:p>
    <w:p w14:paraId="2F052AE0">
      <w:pPr>
        <w:widowControl w:val="0"/>
        <w:snapToGrid w:val="0"/>
        <w:spacing w:line="360" w:lineRule="auto"/>
        <w:ind w:firstLine="562" w:firstLineChars="200"/>
        <w:rPr>
          <w:rFonts w:ascii="黑体" w:hAnsi="黑体" w:eastAsia="黑体"/>
          <w:b/>
          <w:color w:val="auto"/>
          <w:sz w:val="28"/>
          <w:szCs w:val="28"/>
          <w:highlight w:val="none"/>
        </w:rPr>
      </w:pPr>
      <w:bookmarkStart w:id="1" w:name="_Toc35393622"/>
      <w:bookmarkStart w:id="2" w:name="_Toc28359003"/>
      <w:bookmarkStart w:id="3" w:name="_Toc28359080"/>
      <w:bookmarkStart w:id="4" w:name="_Toc35393791"/>
      <w:r>
        <w:rPr>
          <w:rFonts w:hint="eastAsia" w:ascii="黑体" w:hAnsi="黑体" w:eastAsia="黑体"/>
          <w:b/>
          <w:color w:val="auto"/>
          <w:sz w:val="28"/>
          <w:szCs w:val="28"/>
          <w:highlight w:val="none"/>
        </w:rPr>
        <w:t>2.申请人的资格要求：</w:t>
      </w:r>
      <w:bookmarkEnd w:id="1"/>
      <w:bookmarkEnd w:id="2"/>
      <w:bookmarkEnd w:id="3"/>
      <w:bookmarkEnd w:id="4"/>
    </w:p>
    <w:p w14:paraId="6DA2DC4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14:paraId="26E9C674">
      <w:pPr>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落实政府采购政策需满足的资格要求：本项目专门面向中小企业采购，■提供《中小企业声明函》。</w:t>
      </w:r>
    </w:p>
    <w:p w14:paraId="01C2C1D4">
      <w:pPr>
        <w:ind w:firstLine="480" w:firstLineChars="200"/>
        <w:rPr>
          <w:rFonts w:ascii="宋体" w:hAnsi="宋体"/>
          <w:color w:val="auto"/>
          <w:sz w:val="24"/>
          <w:szCs w:val="24"/>
          <w:highlight w:val="none"/>
        </w:rPr>
      </w:pPr>
      <w:r>
        <w:rPr>
          <w:rFonts w:hint="eastAsia" w:ascii="宋体" w:hAnsi="宋体"/>
          <w:color w:val="auto"/>
          <w:sz w:val="24"/>
          <w:szCs w:val="24"/>
          <w:highlight w:val="none"/>
        </w:rPr>
        <w:t>2.3本项目的特定资格要求：</w:t>
      </w:r>
    </w:p>
    <w:p w14:paraId="6D5E4D7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.1</w:t>
      </w:r>
      <w:r>
        <w:rPr>
          <w:rFonts w:hint="eastAsia" w:ascii="宋体" w:hAnsi="宋体"/>
          <w:color w:val="auto"/>
          <w:sz w:val="24"/>
          <w:szCs w:val="24"/>
          <w:highlight w:val="none"/>
        </w:rPr>
        <w:t>满足《中华人民共和国政府采购法》第二十二条第</w:t>
      </w:r>
      <w:r>
        <w:rPr>
          <w:rFonts w:ascii="宋体" w:hAnsi="宋体"/>
          <w:color w:val="auto"/>
          <w:sz w:val="24"/>
          <w:szCs w:val="24"/>
          <w:highlight w:val="none"/>
        </w:rPr>
        <w:t>一款</w:t>
      </w:r>
      <w:r>
        <w:rPr>
          <w:rFonts w:hint="eastAsia" w:ascii="宋体" w:hAnsi="宋体"/>
          <w:color w:val="auto"/>
          <w:sz w:val="24"/>
          <w:szCs w:val="24"/>
          <w:highlight w:val="none"/>
        </w:rPr>
        <w:t>规定的</w:t>
      </w:r>
      <w:r>
        <w:rPr>
          <w:rFonts w:ascii="宋体" w:hAnsi="宋体"/>
          <w:color w:val="auto"/>
          <w:sz w:val="24"/>
          <w:szCs w:val="24"/>
          <w:highlight w:val="none"/>
        </w:rPr>
        <w:t>供应商基础性</w:t>
      </w:r>
      <w:r>
        <w:rPr>
          <w:rFonts w:hint="eastAsia" w:ascii="宋体" w:hAnsi="宋体"/>
          <w:color w:val="auto"/>
          <w:sz w:val="24"/>
          <w:szCs w:val="24"/>
          <w:highlight w:val="none"/>
        </w:rPr>
        <w:t>资格要求；供应商自行承诺并承担后果，承诺书不实的，按《政府采购法》有关提供虚假材料的有关规定给予处罚。</w:t>
      </w:r>
    </w:p>
    <w:p w14:paraId="7A57541C">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w:t>
      </w:r>
      <w:r>
        <w:rPr>
          <w:rFonts w:ascii="宋体" w:hAnsi="宋体"/>
          <w:color w:val="auto"/>
          <w:sz w:val="24"/>
          <w:szCs w:val="24"/>
          <w:highlight w:val="none"/>
        </w:rPr>
        <w:t>应商的限制性规定</w:t>
      </w:r>
    </w:p>
    <w:p w14:paraId="71D8F036">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在“信用中国”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hint="eastAsia" w:ascii="宋体" w:hAnsi="宋体"/>
          <w:b/>
          <w:color w:val="auto"/>
          <w:sz w:val="24"/>
          <w:szCs w:val="24"/>
          <w:highlight w:val="none"/>
        </w:rPr>
        <w:t>均未列入</w:t>
      </w:r>
      <w:r>
        <w:rPr>
          <w:rFonts w:ascii="宋体" w:hAnsi="宋体"/>
          <w:color w:val="auto"/>
          <w:sz w:val="24"/>
          <w:szCs w:val="24"/>
          <w:highlight w:val="none"/>
        </w:rPr>
        <w:t>)</w:t>
      </w:r>
    </w:p>
    <w:p w14:paraId="587C78BA">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供应商递交《响应文件》后，采购人或者采购代理机构将按以上信用信息查询渠道在解密《响应文件》之前对参加本项目的供应商信用记录进行查询，供应商有上述任一不良信用记录的，其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14:paraId="794D4028">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28E488CF">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6CFABA48">
      <w:pPr>
        <w:widowControl w:val="0"/>
        <w:snapToGrid w:val="0"/>
        <w:spacing w:line="360" w:lineRule="auto"/>
        <w:ind w:firstLine="540" w:firstLineChars="225"/>
        <w:rPr>
          <w:color w:val="auto"/>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3项目的特定资格要求：</w:t>
      </w:r>
    </w:p>
    <w:p w14:paraId="0BA70F37">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（1）具备法律、行政法规规定的其他条件。</w:t>
      </w:r>
    </w:p>
    <w:p w14:paraId="3445402D">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（2）本项目（是/否）接受联合体投标：同“项目基本情况”1.7款要求。</w:t>
      </w:r>
    </w:p>
    <w:p w14:paraId="2D5972B8">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注：（1）</w:t>
      </w:r>
      <w:r>
        <w:rPr>
          <w:rFonts w:hint="eastAsia" w:ascii="宋体" w:hAnsi="宋体"/>
          <w:color w:val="auto"/>
          <w:sz w:val="24"/>
          <w:szCs w:val="24"/>
          <w:highlight w:val="none"/>
        </w:rPr>
        <w:t>所</w:t>
      </w:r>
      <w:r>
        <w:rPr>
          <w:rFonts w:hint="eastAsia"/>
          <w:color w:val="auto"/>
          <w:sz w:val="24"/>
          <w:szCs w:val="24"/>
          <w:highlight w:val="none"/>
        </w:rPr>
        <w:t>有证照均应为有效的证照；文中“近”、“前”指距投标截止时间。</w:t>
      </w:r>
    </w:p>
    <w:p w14:paraId="3C5998B6">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（2）资格证明材料（文件）应附于投标文件中并经投</w:t>
      </w:r>
      <w:r>
        <w:rPr>
          <w:color w:val="auto"/>
          <w:sz w:val="24"/>
          <w:szCs w:val="24"/>
          <w:highlight w:val="none"/>
        </w:rPr>
        <w:t>标人</w:t>
      </w:r>
      <w:r>
        <w:rPr>
          <w:rFonts w:hint="eastAsia" w:ascii="宋体" w:hAnsi="宋体" w:cs="楷体_GB2312"/>
          <w:color w:val="auto"/>
          <w:sz w:val="24"/>
          <w:highlight w:val="none"/>
        </w:rPr>
        <w:t>电子签章</w:t>
      </w:r>
      <w:r>
        <w:rPr>
          <w:rFonts w:hint="eastAsia"/>
          <w:color w:val="auto"/>
          <w:sz w:val="24"/>
          <w:szCs w:val="24"/>
          <w:highlight w:val="none"/>
        </w:rPr>
        <w:t>。投标人对资格证明文件真实性有效合规承担责任，提供虚假材料的为无效投标并将进一步追究其责任。</w:t>
      </w:r>
    </w:p>
    <w:p w14:paraId="6A05F724">
      <w:pPr>
        <w:pStyle w:val="14"/>
        <w:shd w:val="clear" w:color="auto" w:fill="FFFFFF"/>
        <w:adjustRightInd w:val="0"/>
        <w:spacing w:before="50" w:beforeAutospacing="0" w:after="0" w:afterAutospacing="0" w:line="300" w:lineRule="auto"/>
        <w:ind w:firstLine="540" w:firstLineChars="225"/>
        <w:rPr>
          <w:color w:val="auto"/>
          <w:highlight w:val="none"/>
        </w:rPr>
      </w:pPr>
      <w:r>
        <w:rPr>
          <w:rFonts w:hint="eastAsia"/>
          <w:color w:val="auto"/>
          <w:highlight w:val="none"/>
        </w:rPr>
        <w:t>（3）本项目采取资格后审，开标后，将由谈判小组对投标人的资格证明材料（文件）进行资格审核，未按要求逐一提供、或资格审查不合格的为无效投标，投标人应自负其风险费用。</w:t>
      </w:r>
    </w:p>
    <w:p w14:paraId="18CFD9D7">
      <w:pPr>
        <w:pStyle w:val="14"/>
        <w:shd w:val="clear" w:color="auto" w:fill="FFFFFF"/>
        <w:adjustRightInd w:val="0"/>
        <w:spacing w:before="50" w:beforeAutospacing="0" w:after="0" w:afterAutospacing="0" w:line="300" w:lineRule="auto"/>
        <w:ind w:firstLine="542" w:firstLineChars="225"/>
        <w:rPr>
          <w:b/>
          <w:color w:val="auto"/>
          <w:highlight w:val="none"/>
        </w:rPr>
      </w:pPr>
    </w:p>
    <w:p w14:paraId="60572FBF">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3</w:t>
      </w:r>
      <w:r>
        <w:rPr>
          <w:rFonts w:hint="eastAsia" w:ascii="黑体" w:hAnsi="黑体" w:eastAsia="黑体"/>
          <w:b/>
          <w:color w:val="auto"/>
          <w:sz w:val="28"/>
          <w:szCs w:val="28"/>
          <w:highlight w:val="none"/>
        </w:rPr>
        <w:t>．获取谈判文件</w:t>
      </w:r>
    </w:p>
    <w:p w14:paraId="7ABE3F17">
      <w:pPr>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3.1</w:t>
      </w:r>
      <w:r>
        <w:rPr>
          <w:rFonts w:hint="eastAsia"/>
          <w:color w:val="auto"/>
          <w:sz w:val="24"/>
          <w:szCs w:val="24"/>
          <w:highlight w:val="none"/>
        </w:rPr>
        <w:t>时间：</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4</w:t>
      </w:r>
      <w:r>
        <w:rPr>
          <w:rFonts w:hint="eastAsia"/>
          <w:color w:val="auto"/>
          <w:sz w:val="24"/>
          <w:szCs w:val="24"/>
          <w:highlight w:val="none"/>
        </w:rPr>
        <w:t>月</w:t>
      </w:r>
      <w:r>
        <w:rPr>
          <w:rFonts w:hint="eastAsia"/>
          <w:color w:val="auto"/>
          <w:sz w:val="24"/>
          <w:szCs w:val="24"/>
          <w:highlight w:val="none"/>
          <w:u w:val="single"/>
          <w:lang w:val="en-US" w:eastAsia="zh-CN"/>
        </w:rPr>
        <w:t>3</w:t>
      </w:r>
      <w:r>
        <w:rPr>
          <w:rFonts w:hint="eastAsia"/>
          <w:color w:val="auto"/>
          <w:sz w:val="24"/>
          <w:szCs w:val="24"/>
          <w:highlight w:val="none"/>
        </w:rPr>
        <w:t>日至</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4</w:t>
      </w:r>
      <w:r>
        <w:rPr>
          <w:rFonts w:hint="eastAsia"/>
          <w:color w:val="auto"/>
          <w:sz w:val="24"/>
          <w:szCs w:val="24"/>
          <w:highlight w:val="none"/>
        </w:rPr>
        <w:t>月</w:t>
      </w:r>
      <w:r>
        <w:rPr>
          <w:rFonts w:hint="eastAsia"/>
          <w:color w:val="auto"/>
          <w:sz w:val="24"/>
          <w:szCs w:val="24"/>
          <w:highlight w:val="none"/>
          <w:u w:val="single"/>
          <w:lang w:val="en-US" w:eastAsia="zh-CN"/>
        </w:rPr>
        <w:t>9</w:t>
      </w:r>
      <w:r>
        <w:rPr>
          <w:rFonts w:hint="eastAsia"/>
          <w:color w:val="auto"/>
          <w:sz w:val="24"/>
          <w:szCs w:val="24"/>
          <w:highlight w:val="none"/>
        </w:rPr>
        <w:t>日，每天上午</w:t>
      </w:r>
      <w:r>
        <w:rPr>
          <w:rFonts w:hint="eastAsia"/>
          <w:color w:val="auto"/>
          <w:sz w:val="24"/>
          <w:szCs w:val="24"/>
          <w:highlight w:val="none"/>
          <w:u w:val="single"/>
          <w:lang w:val="en-US" w:eastAsia="zh-CN"/>
        </w:rPr>
        <w:t>00:00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rPr>
        <w:t>，下午</w:t>
      </w:r>
      <w:r>
        <w:rPr>
          <w:rFonts w:hint="eastAsia"/>
          <w:color w:val="auto"/>
          <w:sz w:val="24"/>
          <w:szCs w:val="24"/>
          <w:highlight w:val="none"/>
          <w:u w:val="single"/>
          <w:lang w:val="en-US" w:eastAsia="zh-CN"/>
        </w:rPr>
        <w:t>12:00</w:t>
      </w:r>
      <w:r>
        <w:rPr>
          <w:rFonts w:hint="eastAsia"/>
          <w:color w:val="auto"/>
          <w:sz w:val="24"/>
          <w:szCs w:val="24"/>
          <w:highlight w:val="none"/>
        </w:rPr>
        <w:t>至</w:t>
      </w:r>
      <w:r>
        <w:rPr>
          <w:rFonts w:hint="eastAsia"/>
          <w:color w:val="auto"/>
          <w:sz w:val="24"/>
          <w:szCs w:val="24"/>
          <w:highlight w:val="none"/>
          <w:u w:val="single"/>
          <w:lang w:val="en-US" w:eastAsia="zh-CN"/>
        </w:rPr>
        <w:t>23:59</w:t>
      </w:r>
      <w:r>
        <w:rPr>
          <w:rFonts w:hint="eastAsia"/>
          <w:color w:val="auto"/>
          <w:sz w:val="24"/>
          <w:szCs w:val="24"/>
          <w:highlight w:val="none"/>
        </w:rPr>
        <w:t>（北京时间，</w:t>
      </w:r>
      <w:r>
        <w:rPr>
          <w:color w:val="auto"/>
          <w:sz w:val="24"/>
          <w:szCs w:val="24"/>
          <w:highlight w:val="none"/>
        </w:rPr>
        <w:t>法定节假日</w:t>
      </w:r>
      <w:r>
        <w:rPr>
          <w:rFonts w:hint="eastAsia"/>
          <w:color w:val="auto"/>
          <w:sz w:val="24"/>
          <w:szCs w:val="24"/>
          <w:highlight w:val="none"/>
        </w:rPr>
        <w:t>除外）</w:t>
      </w:r>
    </w:p>
    <w:p w14:paraId="4FD0D000">
      <w:pPr>
        <w:widowControl w:val="0"/>
        <w:snapToGrid w:val="0"/>
        <w:spacing w:line="360" w:lineRule="auto"/>
        <w:ind w:left="55" w:leftChars="26" w:firstLine="472" w:firstLineChars="225"/>
        <w:rPr>
          <w:rFonts w:ascii="宋体" w:hAnsi="宋体"/>
          <w:b/>
          <w:color w:val="auto"/>
          <w:sz w:val="24"/>
          <w:szCs w:val="24"/>
          <w:highlight w:val="none"/>
        </w:rPr>
      </w:pPr>
      <w:r>
        <w:rPr>
          <w:rFonts w:hint="eastAsia"/>
          <w:color w:val="auto"/>
          <w:highlight w:val="none"/>
        </w:rPr>
        <w:t>3.2地点：</w:t>
      </w:r>
      <w:r>
        <w:rPr>
          <w:rFonts w:hint="eastAsia"/>
          <w:b/>
          <w:bCs/>
          <w:color w:val="auto"/>
          <w:sz w:val="24"/>
          <w:szCs w:val="24"/>
          <w:highlight w:val="none"/>
        </w:rPr>
        <w:t>登陆殷都区公共资源交易中心网站（</w:t>
      </w:r>
      <w:r>
        <w:rPr>
          <w:b/>
          <w:bCs/>
          <w:color w:val="auto"/>
          <w:sz w:val="24"/>
          <w:szCs w:val="24"/>
          <w:highlight w:val="none"/>
        </w:rPr>
        <w:t>https://ggzy.anyang.gov.cn/ydggzy</w:t>
      </w:r>
      <w:r>
        <w:rPr>
          <w:rFonts w:hint="eastAsia"/>
          <w:b/>
          <w:bCs/>
          <w:color w:val="auto"/>
          <w:sz w:val="24"/>
          <w:szCs w:val="24"/>
          <w:highlight w:val="none"/>
        </w:rPr>
        <w:t>），在【交易主体登录】入口完成注册。凭数字证书下载谈判文件及其它资料。</w:t>
      </w:r>
    </w:p>
    <w:p w14:paraId="6CB6E530">
      <w:pPr>
        <w:spacing w:line="360" w:lineRule="auto"/>
        <w:ind w:firstLine="540"/>
        <w:rPr>
          <w:b/>
          <w:bCs/>
          <w:color w:val="auto"/>
          <w:sz w:val="24"/>
          <w:szCs w:val="24"/>
          <w:highlight w:val="none"/>
        </w:rPr>
      </w:pPr>
      <w:r>
        <w:rPr>
          <w:rFonts w:hint="eastAsia" w:ascii="宋体" w:hAnsi="宋体"/>
          <w:color w:val="auto"/>
          <w:sz w:val="24"/>
          <w:szCs w:val="24"/>
          <w:highlight w:val="none"/>
        </w:rPr>
        <w:t>3.3方式：</w:t>
      </w:r>
      <w:r>
        <w:rPr>
          <w:rFonts w:hint="eastAsia"/>
          <w:b/>
          <w:bCs/>
          <w:color w:val="auto"/>
          <w:sz w:val="24"/>
          <w:szCs w:val="24"/>
          <w:highlight w:val="none"/>
        </w:rPr>
        <w:t>网上</w:t>
      </w:r>
      <w:r>
        <w:rPr>
          <w:b/>
          <w:bCs/>
          <w:color w:val="auto"/>
          <w:sz w:val="24"/>
          <w:szCs w:val="24"/>
          <w:highlight w:val="none"/>
        </w:rPr>
        <w:t>下载</w:t>
      </w:r>
      <w:r>
        <w:rPr>
          <w:rFonts w:hint="eastAsia"/>
          <w:b/>
          <w:bCs/>
          <w:color w:val="auto"/>
          <w:sz w:val="24"/>
          <w:szCs w:val="24"/>
          <w:highlight w:val="none"/>
        </w:rPr>
        <w:t>；</w:t>
      </w:r>
    </w:p>
    <w:p w14:paraId="766EA389">
      <w:pPr>
        <w:spacing w:line="360" w:lineRule="auto"/>
        <w:ind w:firstLine="540"/>
        <w:rPr>
          <w:b/>
          <w:bCs/>
          <w:color w:val="auto"/>
          <w:sz w:val="24"/>
          <w:szCs w:val="24"/>
          <w:highlight w:val="none"/>
        </w:rPr>
      </w:pPr>
      <w:r>
        <w:rPr>
          <w:rFonts w:hint="eastAsia"/>
          <w:b/>
          <w:bCs/>
          <w:color w:val="auto"/>
          <w:sz w:val="24"/>
          <w:szCs w:val="24"/>
          <w:highlight w:val="none"/>
        </w:rPr>
        <w:t>具体流程请查询殷都区公共资源交易中心网站-服务指南-操作手册-《安阳市公共资源交易系统投标人（供应商）操作手册》。</w:t>
      </w:r>
      <w:r>
        <w:rPr>
          <w:b/>
          <w:bCs/>
          <w:color w:val="auto"/>
          <w:sz w:val="24"/>
          <w:szCs w:val="24"/>
          <w:highlight w:val="none"/>
        </w:rPr>
        <w:t>如有技术问题请咨询</w:t>
      </w:r>
      <w:r>
        <w:rPr>
          <w:rFonts w:hint="eastAsia"/>
          <w:b/>
          <w:bCs/>
          <w:color w:val="auto"/>
          <w:sz w:val="24"/>
          <w:szCs w:val="24"/>
          <w:highlight w:val="none"/>
        </w:rPr>
        <w:t>400-998-0000、0372-3387739。</w:t>
      </w:r>
    </w:p>
    <w:p w14:paraId="768C64ED">
      <w:pPr>
        <w:spacing w:line="360" w:lineRule="auto"/>
        <w:ind w:firstLine="540"/>
        <w:rPr>
          <w:rFonts w:ascii="宋体" w:hAnsi="宋体" w:cs="宋体"/>
          <w:color w:val="auto"/>
          <w:sz w:val="24"/>
          <w:szCs w:val="24"/>
          <w:highlight w:val="none"/>
        </w:rPr>
      </w:pPr>
      <w:r>
        <w:rPr>
          <w:rFonts w:hint="eastAsia" w:ascii="宋体" w:hAnsi="宋体"/>
          <w:color w:val="auto"/>
          <w:sz w:val="24"/>
          <w:szCs w:val="24"/>
          <w:highlight w:val="none"/>
        </w:rPr>
        <w:t>3.4售价：</w:t>
      </w:r>
      <w:r>
        <w:rPr>
          <w:rFonts w:hint="eastAsia" w:ascii="宋体" w:hAnsi="宋体" w:cs="宋体"/>
          <w:color w:val="auto"/>
          <w:sz w:val="24"/>
          <w:szCs w:val="24"/>
          <w:highlight w:val="none"/>
        </w:rPr>
        <w:t>0元</w:t>
      </w:r>
    </w:p>
    <w:p w14:paraId="37BE855D">
      <w:pPr>
        <w:widowControl w:val="0"/>
        <w:snapToGrid w:val="0"/>
        <w:spacing w:line="360" w:lineRule="auto"/>
        <w:rPr>
          <w:rFonts w:ascii="黑体" w:hAnsi="黑体" w:eastAsia="黑体"/>
          <w:b/>
          <w:color w:val="auto"/>
          <w:sz w:val="28"/>
          <w:szCs w:val="28"/>
          <w:highlight w:val="none"/>
        </w:rPr>
      </w:pPr>
    </w:p>
    <w:p w14:paraId="3EA29000">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4</w:t>
      </w:r>
      <w:r>
        <w:rPr>
          <w:rFonts w:hint="eastAsia" w:ascii="黑体" w:hAnsi="黑体" w:eastAsia="黑体"/>
          <w:b/>
          <w:color w:val="auto"/>
          <w:sz w:val="28"/>
          <w:szCs w:val="28"/>
          <w:highlight w:val="none"/>
        </w:rPr>
        <w:t>．响应文件提交</w:t>
      </w:r>
    </w:p>
    <w:p w14:paraId="5AAB47AF">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4.1截止时间：2026年</w:t>
      </w:r>
      <w:r>
        <w:rPr>
          <w:rFonts w:hint="eastAsia"/>
          <w:color w:val="auto"/>
          <w:sz w:val="24"/>
          <w:szCs w:val="24"/>
          <w:highlight w:val="none"/>
          <w:lang w:val="en-US" w:eastAsia="zh-CN"/>
        </w:rPr>
        <w:t>4</w:t>
      </w:r>
      <w:r>
        <w:rPr>
          <w:rFonts w:hint="eastAsia"/>
          <w:color w:val="auto"/>
          <w:sz w:val="24"/>
          <w:szCs w:val="24"/>
          <w:highlight w:val="none"/>
        </w:rPr>
        <w:t>月</w:t>
      </w:r>
      <w:r>
        <w:rPr>
          <w:rFonts w:hint="eastAsia"/>
          <w:color w:val="auto"/>
          <w:sz w:val="24"/>
          <w:szCs w:val="24"/>
          <w:highlight w:val="none"/>
          <w:lang w:val="en-US" w:eastAsia="zh-CN"/>
        </w:rPr>
        <w:t>10</w:t>
      </w:r>
      <w:r>
        <w:rPr>
          <w:rFonts w:hint="eastAsia"/>
          <w:color w:val="auto"/>
          <w:sz w:val="24"/>
          <w:szCs w:val="24"/>
          <w:highlight w:val="none"/>
        </w:rPr>
        <w:t>日09时00分（北京时间）</w:t>
      </w:r>
    </w:p>
    <w:p w14:paraId="2C2DA0B9">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4.2地点：于殷都区公共资源交易平台网</w:t>
      </w:r>
      <w:r>
        <w:rPr>
          <w:color w:val="auto"/>
          <w:sz w:val="24"/>
          <w:szCs w:val="24"/>
          <w:highlight w:val="none"/>
        </w:rPr>
        <w:t>上</w:t>
      </w:r>
      <w:r>
        <w:rPr>
          <w:rFonts w:hint="eastAsia"/>
          <w:color w:val="auto"/>
          <w:sz w:val="24"/>
          <w:szCs w:val="24"/>
          <w:highlight w:val="none"/>
        </w:rPr>
        <w:t>上传</w:t>
      </w:r>
      <w:r>
        <w:rPr>
          <w:color w:val="auto"/>
          <w:sz w:val="24"/>
          <w:szCs w:val="24"/>
          <w:highlight w:val="none"/>
        </w:rPr>
        <w:t>递</w:t>
      </w:r>
      <w:r>
        <w:rPr>
          <w:rFonts w:hint="eastAsia"/>
          <w:color w:val="auto"/>
          <w:sz w:val="24"/>
          <w:szCs w:val="24"/>
          <w:highlight w:val="none"/>
        </w:rPr>
        <w:t>交、</w:t>
      </w:r>
      <w:r>
        <w:rPr>
          <w:color w:val="auto"/>
          <w:sz w:val="24"/>
          <w:szCs w:val="24"/>
          <w:highlight w:val="none"/>
        </w:rPr>
        <w:t>并</w:t>
      </w:r>
      <w:r>
        <w:rPr>
          <w:rFonts w:hint="eastAsia"/>
          <w:color w:val="auto"/>
          <w:sz w:val="24"/>
          <w:szCs w:val="24"/>
          <w:highlight w:val="none"/>
        </w:rPr>
        <w:t>由投标人</w:t>
      </w:r>
      <w:r>
        <w:rPr>
          <w:color w:val="auto"/>
          <w:sz w:val="24"/>
          <w:szCs w:val="24"/>
          <w:highlight w:val="none"/>
        </w:rPr>
        <w:t>在规定时间</w:t>
      </w:r>
      <w:r>
        <w:rPr>
          <w:rFonts w:hint="eastAsia"/>
          <w:color w:val="auto"/>
          <w:sz w:val="24"/>
          <w:szCs w:val="24"/>
          <w:highlight w:val="none"/>
        </w:rPr>
        <w:t>远程解密。</w:t>
      </w:r>
    </w:p>
    <w:p w14:paraId="30857C85">
      <w:pPr>
        <w:widowControl w:val="0"/>
        <w:snapToGrid w:val="0"/>
        <w:spacing w:line="360" w:lineRule="auto"/>
        <w:ind w:firstLine="420" w:firstLineChars="200"/>
        <w:rPr>
          <w:rFonts w:ascii="微软雅黑" w:hAnsi="微软雅黑" w:eastAsia="微软雅黑"/>
          <w:color w:val="auto"/>
          <w:szCs w:val="21"/>
          <w:highlight w:val="none"/>
        </w:rPr>
      </w:pPr>
    </w:p>
    <w:p w14:paraId="7CDF2800">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5.响应文件开启</w:t>
      </w:r>
    </w:p>
    <w:p w14:paraId="5F5BB2CD">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5.1时间：2026年</w:t>
      </w:r>
      <w:r>
        <w:rPr>
          <w:rFonts w:hint="eastAsia"/>
          <w:color w:val="auto"/>
          <w:sz w:val="24"/>
          <w:szCs w:val="24"/>
          <w:highlight w:val="none"/>
          <w:lang w:val="en-US" w:eastAsia="zh-CN"/>
        </w:rPr>
        <w:t>4</w:t>
      </w:r>
      <w:r>
        <w:rPr>
          <w:rFonts w:hint="eastAsia"/>
          <w:color w:val="auto"/>
          <w:sz w:val="24"/>
          <w:szCs w:val="24"/>
          <w:highlight w:val="none"/>
        </w:rPr>
        <w:t>月</w:t>
      </w:r>
      <w:r>
        <w:rPr>
          <w:rFonts w:hint="eastAsia"/>
          <w:color w:val="auto"/>
          <w:sz w:val="24"/>
          <w:szCs w:val="24"/>
          <w:highlight w:val="none"/>
          <w:lang w:val="en-US" w:eastAsia="zh-CN"/>
        </w:rPr>
        <w:t>10</w:t>
      </w:r>
      <w:r>
        <w:rPr>
          <w:rFonts w:hint="eastAsia"/>
          <w:color w:val="auto"/>
          <w:sz w:val="24"/>
          <w:szCs w:val="24"/>
          <w:highlight w:val="none"/>
        </w:rPr>
        <w:t>日09时00分（北京时间）</w:t>
      </w:r>
    </w:p>
    <w:p w14:paraId="187496F2">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5.2地点（管理员网上操作地点）：殷都区公共资源交易二楼开标</w:t>
      </w:r>
      <w:r>
        <w:rPr>
          <w:rFonts w:hint="eastAsia"/>
          <w:color w:val="auto"/>
          <w:sz w:val="24"/>
          <w:szCs w:val="24"/>
          <w:highlight w:val="none"/>
          <w:u w:val="none" w:color="auto"/>
          <w:lang w:eastAsia="zh-CN"/>
        </w:rPr>
        <w:t>二</w:t>
      </w:r>
      <w:r>
        <w:rPr>
          <w:rFonts w:hint="eastAsia"/>
          <w:color w:val="auto"/>
          <w:sz w:val="24"/>
          <w:szCs w:val="24"/>
          <w:highlight w:val="none"/>
        </w:rPr>
        <w:t>室（安阳市高新区文昌大道与东风路交叉口向南300米路西 东风路342号）。</w:t>
      </w:r>
    </w:p>
    <w:p w14:paraId="6870E9A4">
      <w:pPr>
        <w:widowControl w:val="0"/>
        <w:adjustRightInd w:val="0"/>
        <w:spacing w:before="156" w:beforeLines="50" w:line="300" w:lineRule="auto"/>
        <w:ind w:firstLine="540" w:firstLineChars="225"/>
        <w:rPr>
          <w:b/>
          <w:bCs/>
          <w:color w:val="auto"/>
          <w:sz w:val="24"/>
          <w:szCs w:val="24"/>
          <w:highlight w:val="none"/>
        </w:rPr>
      </w:pPr>
      <w:r>
        <w:rPr>
          <w:rFonts w:hint="eastAsia" w:ascii="宋体" w:hAnsi="宋体"/>
          <w:color w:val="auto"/>
          <w:sz w:val="24"/>
          <w:szCs w:val="24"/>
          <w:highlight w:val="none"/>
        </w:rPr>
        <w:t>5.3</w:t>
      </w:r>
      <w:r>
        <w:rPr>
          <w:b/>
          <w:bCs/>
          <w:color w:val="auto"/>
          <w:sz w:val="24"/>
          <w:szCs w:val="24"/>
          <w:highlight w:val="none"/>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7EED59F7">
      <w:pPr>
        <w:widowControl w:val="0"/>
        <w:snapToGrid w:val="0"/>
        <w:spacing w:line="360" w:lineRule="auto"/>
        <w:ind w:firstLine="562" w:firstLineChars="200"/>
        <w:rPr>
          <w:rFonts w:ascii="黑体" w:hAnsi="黑体" w:eastAsia="黑体"/>
          <w:b/>
          <w:color w:val="auto"/>
          <w:sz w:val="28"/>
          <w:szCs w:val="28"/>
          <w:highlight w:val="none"/>
        </w:rPr>
      </w:pPr>
    </w:p>
    <w:p w14:paraId="2DBA2007">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6.</w:t>
      </w:r>
      <w:r>
        <w:rPr>
          <w:rFonts w:hint="eastAsia"/>
          <w:color w:val="auto"/>
          <w:highlight w:val="none"/>
        </w:rPr>
        <w:t xml:space="preserve"> </w:t>
      </w:r>
      <w:r>
        <w:rPr>
          <w:rFonts w:hint="eastAsia" w:ascii="黑体" w:hAnsi="黑体" w:eastAsia="黑体"/>
          <w:b/>
          <w:color w:val="auto"/>
          <w:sz w:val="28"/>
          <w:szCs w:val="28"/>
          <w:highlight w:val="none"/>
        </w:rPr>
        <w:t>发布公告的媒介及公告期限</w:t>
      </w:r>
    </w:p>
    <w:p w14:paraId="4D88D918">
      <w:pPr>
        <w:widowControl w:val="0"/>
        <w:tabs>
          <w:tab w:val="left" w:pos="39"/>
          <w:tab w:val="left" w:pos="96"/>
        </w:tabs>
        <w:snapToGrid w:val="0"/>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本项目在“河南省政府采购网（安阳市政府采购网）”、“</w:t>
      </w:r>
      <w:r>
        <w:rPr>
          <w:rFonts w:hint="eastAsia" w:ascii="宋体" w:hAnsi="宋体" w:cs="宋体"/>
          <w:color w:val="auto"/>
          <w:sz w:val="24"/>
          <w:szCs w:val="24"/>
          <w:highlight w:val="none"/>
        </w:rPr>
        <w:t>全国公共资源交易平台（河南省·殷都区）</w:t>
      </w:r>
      <w:r>
        <w:rPr>
          <w:rFonts w:hint="eastAsia" w:ascii="宋体" w:hAnsi="宋体"/>
          <w:color w:val="auto"/>
          <w:sz w:val="24"/>
          <w:szCs w:val="24"/>
          <w:highlight w:val="none"/>
        </w:rPr>
        <w:t>殷都区公共资源交易中心</w:t>
      </w:r>
      <w:r>
        <w:rPr>
          <w:rFonts w:hint="eastAsia" w:ascii="宋体" w:hAnsi="宋体"/>
          <w:b/>
          <w:color w:val="auto"/>
          <w:sz w:val="24"/>
          <w:szCs w:val="24"/>
          <w:highlight w:val="none"/>
        </w:rPr>
        <w:t>”</w:t>
      </w:r>
      <w:r>
        <w:rPr>
          <w:rFonts w:hint="eastAsia" w:ascii="宋体" w:hAnsi="宋体" w:cs="宋体"/>
          <w:color w:val="auto"/>
          <w:sz w:val="24"/>
          <w:szCs w:val="24"/>
          <w:highlight w:val="none"/>
        </w:rPr>
        <w:t>、</w:t>
      </w:r>
      <w:r>
        <w:rPr>
          <w:rFonts w:hint="eastAsia" w:ascii="宋体" w:hAnsi="宋体"/>
          <w:color w:val="auto"/>
          <w:sz w:val="24"/>
          <w:szCs w:val="24"/>
          <w:highlight w:val="none"/>
        </w:rPr>
        <w:t>“安阳招标采购网”网站上同期发布。公告期限为三个工作日</w:t>
      </w:r>
      <w:r>
        <w:rPr>
          <w:rFonts w:hint="eastAsia" w:ascii="宋体" w:hAnsi="宋体" w:cs="宋体"/>
          <w:color w:val="auto"/>
          <w:sz w:val="24"/>
          <w:szCs w:val="24"/>
          <w:highlight w:val="none"/>
        </w:rPr>
        <w:t>。</w:t>
      </w:r>
    </w:p>
    <w:p w14:paraId="17B5715D">
      <w:pPr>
        <w:widowControl w:val="0"/>
        <w:tabs>
          <w:tab w:val="left" w:pos="39"/>
          <w:tab w:val="left" w:pos="96"/>
        </w:tabs>
        <w:snapToGrid w:val="0"/>
        <w:spacing w:line="360" w:lineRule="auto"/>
        <w:ind w:firstLine="566" w:firstLineChars="236"/>
        <w:rPr>
          <w:rFonts w:ascii="宋体" w:hAnsi="宋体" w:cs="宋体"/>
          <w:color w:val="auto"/>
          <w:sz w:val="24"/>
          <w:szCs w:val="24"/>
          <w:highlight w:val="none"/>
        </w:rPr>
      </w:pPr>
    </w:p>
    <w:p w14:paraId="51665969">
      <w:pPr>
        <w:widowControl w:val="0"/>
        <w:tabs>
          <w:tab w:val="left" w:pos="39"/>
          <w:tab w:val="left" w:pos="96"/>
        </w:tabs>
        <w:snapToGrid w:val="0"/>
        <w:spacing w:line="360" w:lineRule="auto"/>
        <w:ind w:firstLine="663" w:firstLineChars="236"/>
        <w:rPr>
          <w:rFonts w:ascii="黑体" w:hAnsi="黑体" w:eastAsia="黑体"/>
          <w:b/>
          <w:color w:val="auto"/>
          <w:sz w:val="28"/>
          <w:szCs w:val="28"/>
          <w:highlight w:val="none"/>
        </w:rPr>
      </w:pPr>
      <w:r>
        <w:rPr>
          <w:rFonts w:hint="eastAsia" w:ascii="黑体" w:hAnsi="黑体" w:eastAsia="黑体"/>
          <w:b/>
          <w:color w:val="auto"/>
          <w:sz w:val="28"/>
          <w:szCs w:val="28"/>
          <w:highlight w:val="none"/>
        </w:rPr>
        <w:t>7. 其他补充事宜</w:t>
      </w:r>
    </w:p>
    <w:p w14:paraId="198A9302">
      <w:pPr>
        <w:widowControl w:val="0"/>
        <w:snapToGrid w:val="0"/>
        <w:spacing w:line="360" w:lineRule="auto"/>
        <w:ind w:firstLine="540" w:firstLineChars="225"/>
        <w:jc w:val="left"/>
        <w:rPr>
          <w:color w:val="auto"/>
          <w:sz w:val="24"/>
          <w:szCs w:val="24"/>
          <w:highlight w:val="none"/>
        </w:rPr>
      </w:pPr>
      <w:r>
        <w:rPr>
          <w:rFonts w:hint="eastAsia" w:ascii="宋体" w:hAnsi="宋体"/>
          <w:color w:val="auto"/>
          <w:sz w:val="24"/>
          <w:szCs w:val="24"/>
          <w:highlight w:val="none"/>
        </w:rPr>
        <w:t>7.1项目落实的政府采购政策：</w:t>
      </w:r>
      <w:r>
        <w:rPr>
          <w:rFonts w:hint="eastAsia"/>
          <w:color w:val="auto"/>
          <w:sz w:val="24"/>
          <w:szCs w:val="24"/>
          <w:highlight w:val="none"/>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highlight w:val="none"/>
        </w:rPr>
        <w:t>支持绿色建筑、绿色建材，支持不发达、少数民族地区的企业，促进自主创新产业发展，支持脱贫攻坚等</w:t>
      </w:r>
      <w:r>
        <w:rPr>
          <w:rFonts w:hint="eastAsia"/>
          <w:color w:val="auto"/>
          <w:sz w:val="24"/>
          <w:szCs w:val="24"/>
          <w:highlight w:val="none"/>
        </w:rPr>
        <w:t>。</w:t>
      </w:r>
    </w:p>
    <w:p w14:paraId="32A32CCC">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7.2政府采购合同融资</w:t>
      </w:r>
    </w:p>
    <w:p w14:paraId="075F370D">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703E8EE7">
      <w:pPr>
        <w:pStyle w:val="14"/>
        <w:shd w:val="clear" w:color="auto" w:fill="FFFFFF"/>
        <w:adjustRightInd w:val="0"/>
        <w:spacing w:before="50" w:beforeAutospacing="0" w:after="0" w:afterAutospacing="0" w:line="300" w:lineRule="auto"/>
        <w:ind w:firstLine="540" w:firstLineChars="225"/>
        <w:rPr>
          <w:rFonts w:cs="Times New Roman"/>
          <w:color w:val="auto"/>
          <w:highlight w:val="none"/>
        </w:rPr>
      </w:pPr>
      <w:r>
        <w:rPr>
          <w:rFonts w:hint="eastAsia"/>
          <w:color w:val="auto"/>
          <w:highlight w:val="none"/>
        </w:rPr>
        <w:t>7.3</w:t>
      </w:r>
      <w:r>
        <w:rPr>
          <w:rFonts w:hint="eastAsia" w:cs="Times New Roman"/>
          <w:color w:val="auto"/>
          <w:highlight w:val="none"/>
        </w:rPr>
        <w:t>网</w:t>
      </w:r>
      <w:r>
        <w:rPr>
          <w:rFonts w:cs="Times New Roman"/>
          <w:color w:val="auto"/>
          <w:highlight w:val="none"/>
        </w:rPr>
        <w:t>上</w:t>
      </w:r>
      <w:r>
        <w:rPr>
          <w:rFonts w:hint="eastAsia" w:cs="Times New Roman"/>
          <w:color w:val="auto"/>
          <w:highlight w:val="none"/>
        </w:rPr>
        <w:t>电子交易系</w:t>
      </w:r>
      <w:r>
        <w:rPr>
          <w:rFonts w:cs="Times New Roman"/>
          <w:color w:val="auto"/>
          <w:highlight w:val="none"/>
        </w:rPr>
        <w:t>统</w:t>
      </w:r>
      <w:r>
        <w:rPr>
          <w:rFonts w:hint="eastAsia" w:cs="Times New Roman"/>
          <w:color w:val="auto"/>
          <w:highlight w:val="none"/>
        </w:rPr>
        <w:t>网</w:t>
      </w:r>
      <w:r>
        <w:rPr>
          <w:rFonts w:cs="Times New Roman"/>
          <w:color w:val="auto"/>
          <w:highlight w:val="none"/>
        </w:rPr>
        <w:t>址</w:t>
      </w:r>
    </w:p>
    <w:p w14:paraId="2DDEAE79">
      <w:pPr>
        <w:widowControl w:val="0"/>
        <w:tabs>
          <w:tab w:val="left" w:pos="39"/>
          <w:tab w:val="left" w:pos="96"/>
        </w:tabs>
        <w:snapToGrid w:val="0"/>
        <w:spacing w:line="360" w:lineRule="auto"/>
        <w:ind w:firstLine="602" w:firstLineChars="250"/>
        <w:rPr>
          <w:rFonts w:ascii="宋体" w:hAnsi="宋体"/>
          <w:b/>
          <w:color w:val="auto"/>
          <w:sz w:val="24"/>
          <w:szCs w:val="24"/>
          <w:highlight w:val="none"/>
        </w:rPr>
      </w:pPr>
      <w:bookmarkStart w:id="5" w:name="_Toc35393796"/>
      <w:bookmarkStart w:id="6" w:name="_Toc35393627"/>
      <w:bookmarkStart w:id="7" w:name="_Toc28359085"/>
      <w:bookmarkStart w:id="8" w:name="_Toc28359008"/>
      <w:r>
        <w:rPr>
          <w:rFonts w:hint="eastAsia" w:ascii="宋体"/>
          <w:b/>
          <w:color w:val="auto"/>
          <w:sz w:val="24"/>
          <w:szCs w:val="24"/>
          <w:highlight w:val="none"/>
        </w:rPr>
        <w:t>7</w:t>
      </w:r>
      <w:r>
        <w:rPr>
          <w:rFonts w:ascii="宋体"/>
          <w:b/>
          <w:color w:val="auto"/>
          <w:sz w:val="24"/>
          <w:szCs w:val="24"/>
          <w:highlight w:val="none"/>
        </w:rPr>
        <w:t>.</w:t>
      </w:r>
      <w:r>
        <w:rPr>
          <w:rFonts w:hint="eastAsia" w:ascii="宋体"/>
          <w:b/>
          <w:color w:val="auto"/>
          <w:sz w:val="24"/>
          <w:szCs w:val="24"/>
          <w:highlight w:val="none"/>
        </w:rPr>
        <w:t>3.</w:t>
      </w:r>
      <w:r>
        <w:rPr>
          <w:rFonts w:ascii="宋体"/>
          <w:b/>
          <w:color w:val="auto"/>
          <w:sz w:val="24"/>
          <w:szCs w:val="24"/>
          <w:highlight w:val="none"/>
        </w:rPr>
        <w:t>1</w:t>
      </w:r>
      <w:r>
        <w:rPr>
          <w:rFonts w:hint="eastAsia" w:ascii="宋体" w:hAnsi="宋体"/>
          <w:b/>
          <w:color w:val="auto"/>
          <w:sz w:val="24"/>
          <w:szCs w:val="24"/>
          <w:highlight w:val="none"/>
        </w:rPr>
        <w:t>全国公共资源交易平台（</w:t>
      </w:r>
      <w:r>
        <w:rPr>
          <w:rFonts w:hint="eastAsia" w:ascii="宋体" w:hAnsi="宋体" w:cs="宋体"/>
          <w:b/>
          <w:color w:val="auto"/>
          <w:sz w:val="24"/>
          <w:szCs w:val="24"/>
          <w:highlight w:val="none"/>
        </w:rPr>
        <w:t>河南省·殷都区</w:t>
      </w:r>
      <w:r>
        <w:rPr>
          <w:rFonts w:hint="eastAsia" w:ascii="宋体" w:hAnsi="宋体"/>
          <w:b/>
          <w:color w:val="auto"/>
          <w:sz w:val="24"/>
          <w:szCs w:val="24"/>
          <w:highlight w:val="none"/>
        </w:rPr>
        <w:t>）</w:t>
      </w:r>
      <w:r>
        <w:rPr>
          <w:b/>
          <w:color w:val="auto"/>
          <w:highlight w:val="none"/>
        </w:rPr>
        <w:t>https://ggzy.anyang.gov.cn/ydggzy</w:t>
      </w:r>
    </w:p>
    <w:p w14:paraId="59A48C0F">
      <w:pPr>
        <w:widowControl w:val="0"/>
        <w:tabs>
          <w:tab w:val="left" w:pos="39"/>
          <w:tab w:val="left" w:pos="96"/>
        </w:tabs>
        <w:snapToGrid w:val="0"/>
        <w:spacing w:line="360" w:lineRule="auto"/>
        <w:ind w:firstLine="602" w:firstLineChars="250"/>
        <w:rPr>
          <w:rFonts w:ascii="宋体" w:hAnsi="宋体"/>
          <w:b/>
          <w:color w:val="auto"/>
          <w:sz w:val="24"/>
          <w:szCs w:val="24"/>
          <w:highlight w:val="none"/>
        </w:rPr>
      </w:pPr>
      <w:r>
        <w:rPr>
          <w:rFonts w:hint="eastAsia" w:ascii="宋体" w:hAnsi="宋体"/>
          <w:b/>
          <w:color w:val="auto"/>
          <w:sz w:val="24"/>
          <w:szCs w:val="24"/>
          <w:highlight w:val="none"/>
        </w:rPr>
        <w:t>谈判文件</w:t>
      </w:r>
      <w:r>
        <w:rPr>
          <w:rFonts w:ascii="宋体" w:hAnsi="宋体"/>
          <w:b/>
          <w:color w:val="auto"/>
          <w:sz w:val="24"/>
          <w:szCs w:val="24"/>
          <w:highlight w:val="none"/>
        </w:rPr>
        <w:t>简称“</w:t>
      </w:r>
      <w:r>
        <w:rPr>
          <w:rFonts w:hint="eastAsia" w:ascii="宋体" w:hAnsi="宋体"/>
          <w:b/>
          <w:color w:val="auto"/>
          <w:sz w:val="24"/>
          <w:szCs w:val="24"/>
          <w:highlight w:val="none"/>
        </w:rPr>
        <w:t>殷都区公共资源交易平台</w:t>
      </w:r>
      <w:r>
        <w:rPr>
          <w:rFonts w:ascii="宋体" w:hAnsi="宋体"/>
          <w:b/>
          <w:color w:val="auto"/>
          <w:sz w:val="24"/>
          <w:szCs w:val="24"/>
          <w:highlight w:val="none"/>
        </w:rPr>
        <w:t>”</w:t>
      </w:r>
      <w:r>
        <w:rPr>
          <w:rFonts w:ascii="宋体" w:hAnsi="宋体"/>
          <w:b/>
          <w:color w:val="auto"/>
          <w:sz w:val="24"/>
          <w:szCs w:val="24"/>
          <w:highlight w:val="none"/>
        </w:rPr>
        <w:tab/>
      </w:r>
    </w:p>
    <w:p w14:paraId="260A1982">
      <w:pPr>
        <w:widowControl w:val="0"/>
        <w:tabs>
          <w:tab w:val="left" w:pos="39"/>
          <w:tab w:val="left" w:pos="96"/>
        </w:tabs>
        <w:snapToGrid w:val="0"/>
        <w:spacing w:line="360" w:lineRule="auto"/>
        <w:ind w:firstLine="602" w:firstLineChars="250"/>
        <w:rPr>
          <w:rFonts w:ascii="宋体"/>
          <w:b/>
          <w:color w:val="auto"/>
          <w:sz w:val="24"/>
          <w:szCs w:val="24"/>
          <w:highlight w:val="none"/>
        </w:rPr>
      </w:pPr>
      <w:r>
        <w:rPr>
          <w:rFonts w:hint="eastAsia" w:ascii="宋体"/>
          <w:b/>
          <w:color w:val="auto"/>
          <w:sz w:val="24"/>
          <w:szCs w:val="24"/>
          <w:highlight w:val="none"/>
        </w:rPr>
        <w:t>7.3.2投标文件制作软件：在殷都区公共资源交易平台进行下载、并安装投标文件制作工具，查看</w:t>
      </w:r>
      <w:r>
        <w:rPr>
          <w:rFonts w:hint="eastAsia" w:ascii="宋体" w:hAnsi="宋体"/>
          <w:b/>
          <w:color w:val="auto"/>
          <w:sz w:val="24"/>
          <w:szCs w:val="24"/>
          <w:highlight w:val="none"/>
        </w:rPr>
        <w:t>谈判</w:t>
      </w:r>
      <w:r>
        <w:rPr>
          <w:rFonts w:hint="eastAsia" w:ascii="宋体"/>
          <w:b/>
          <w:color w:val="auto"/>
          <w:sz w:val="24"/>
          <w:szCs w:val="24"/>
          <w:highlight w:val="none"/>
        </w:rPr>
        <w:t>文件和制作电子投标文件。</w:t>
      </w:r>
    </w:p>
    <w:p w14:paraId="486E0700">
      <w:pPr>
        <w:widowControl w:val="0"/>
        <w:tabs>
          <w:tab w:val="left" w:pos="39"/>
          <w:tab w:val="left" w:pos="96"/>
        </w:tabs>
        <w:snapToGrid w:val="0"/>
        <w:spacing w:line="360" w:lineRule="auto"/>
        <w:ind w:firstLine="540" w:firstLineChars="225"/>
        <w:rPr>
          <w:rFonts w:ascii="黑体" w:hAnsi="黑体" w:eastAsia="黑体"/>
          <w:color w:val="auto"/>
          <w:sz w:val="28"/>
          <w:szCs w:val="28"/>
          <w:highlight w:val="none"/>
        </w:rPr>
      </w:pPr>
      <w:r>
        <w:rPr>
          <w:rFonts w:hint="eastAsia" w:ascii="宋体" w:hAnsi="宋体" w:cs="宋体"/>
          <w:color w:val="auto"/>
          <w:sz w:val="24"/>
          <w:szCs w:val="24"/>
          <w:highlight w:val="none"/>
        </w:rPr>
        <w:t xml:space="preserve">7.4监督检查提示： </w:t>
      </w:r>
      <w:r>
        <w:rPr>
          <w:rFonts w:hint="eastAsia" w:ascii="黑体" w:hAnsi="黑体" w:eastAsia="黑体"/>
          <w:b/>
          <w:color w:val="auto"/>
          <w:sz w:val="28"/>
          <w:szCs w:val="28"/>
          <w:highlight w:val="none"/>
        </w:rPr>
        <w:t xml:space="preserve">  </w:t>
      </w:r>
      <w:r>
        <w:rPr>
          <w:rFonts w:hint="eastAsia" w:ascii="黑体" w:hAnsi="黑体" w:eastAsia="黑体"/>
          <w:color w:val="auto"/>
          <w:sz w:val="28"/>
          <w:szCs w:val="28"/>
          <w:highlight w:val="none"/>
        </w:rPr>
        <w:t xml:space="preserve">     </w:t>
      </w:r>
    </w:p>
    <w:p w14:paraId="463D8BF9">
      <w:pPr>
        <w:widowControl w:val="0"/>
        <w:adjustRightInd w:val="0"/>
        <w:snapToGrid w:val="0"/>
        <w:spacing w:line="360" w:lineRule="auto"/>
        <w:ind w:firstLine="540" w:firstLineChars="225"/>
        <w:rPr>
          <w:rFonts w:ascii="宋体"/>
          <w:color w:val="auto"/>
          <w:sz w:val="24"/>
          <w:szCs w:val="24"/>
          <w:highlight w:val="none"/>
        </w:rPr>
      </w:pPr>
      <w:r>
        <w:rPr>
          <w:rFonts w:hint="eastAsia" w:ascii="宋体"/>
          <w:color w:val="auto"/>
          <w:sz w:val="24"/>
          <w:szCs w:val="24"/>
          <w:highlight w:val="none"/>
        </w:rPr>
        <w:t>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1591FF7E">
      <w:pPr>
        <w:widowControl w:val="0"/>
        <w:snapToGrid w:val="0"/>
        <w:spacing w:line="360" w:lineRule="auto"/>
        <w:jc w:val="left"/>
        <w:rPr>
          <w:rFonts w:ascii="黑体" w:hAnsi="黑体" w:eastAsia="黑体"/>
          <w:b/>
          <w:color w:val="auto"/>
          <w:sz w:val="28"/>
          <w:szCs w:val="28"/>
          <w:highlight w:val="none"/>
        </w:rPr>
      </w:pPr>
    </w:p>
    <w:p w14:paraId="097BBFFF">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8.凡对本次采购提出询问，请按</w:t>
      </w:r>
      <w:r>
        <w:rPr>
          <w:rFonts w:ascii="黑体" w:hAnsi="黑体" w:eastAsia="黑体"/>
          <w:b/>
          <w:color w:val="auto"/>
          <w:sz w:val="28"/>
          <w:szCs w:val="28"/>
          <w:highlight w:val="none"/>
        </w:rPr>
        <w:t>以下方式</w:t>
      </w:r>
      <w:r>
        <w:rPr>
          <w:rFonts w:hint="eastAsia" w:ascii="黑体" w:hAnsi="黑体" w:eastAsia="黑体"/>
          <w:b/>
          <w:color w:val="auto"/>
          <w:sz w:val="28"/>
          <w:szCs w:val="28"/>
          <w:highlight w:val="none"/>
        </w:rPr>
        <w:t>联系。</w:t>
      </w:r>
      <w:bookmarkEnd w:id="5"/>
      <w:bookmarkEnd w:id="6"/>
      <w:bookmarkEnd w:id="7"/>
      <w:bookmarkEnd w:id="8"/>
    </w:p>
    <w:p w14:paraId="2C9F4137">
      <w:pPr>
        <w:ind w:firstLine="600" w:firstLineChars="250"/>
        <w:jc w:val="left"/>
        <w:rPr>
          <w:rFonts w:ascii="宋体" w:hAnsi="宋体"/>
          <w:color w:val="auto"/>
          <w:sz w:val="24"/>
          <w:szCs w:val="24"/>
          <w:highlight w:val="none"/>
        </w:rPr>
      </w:pPr>
      <w:r>
        <w:rPr>
          <w:rFonts w:hint="eastAsia" w:ascii="宋体" w:hAnsi="宋体" w:cs="宋体"/>
          <w:color w:val="auto"/>
          <w:sz w:val="24"/>
          <w:szCs w:val="24"/>
          <w:highlight w:val="none"/>
        </w:rPr>
        <w:t>8.1采购人信息</w:t>
      </w:r>
    </w:p>
    <w:p w14:paraId="526C7550">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名 称：</w:t>
      </w:r>
      <w:r>
        <w:rPr>
          <w:rFonts w:hint="eastAsia"/>
          <w:color w:val="auto"/>
          <w:sz w:val="24"/>
          <w:szCs w:val="24"/>
          <w:highlight w:val="none"/>
        </w:rPr>
        <w:t>安阳市殷都区公路事业发展中心</w:t>
      </w:r>
    </w:p>
    <w:p w14:paraId="6D54F970">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地址：安阳市殷都区铁一路　       　</w:t>
      </w:r>
    </w:p>
    <w:p w14:paraId="5BB46C52">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 xml:space="preserve">联系人：牛重来    </w:t>
      </w:r>
    </w:p>
    <w:p w14:paraId="3E02471E">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 xml:space="preserve">联系方式：13523332626　      </w:t>
      </w:r>
      <w:bookmarkStart w:id="9" w:name="_Toc28359009"/>
      <w:bookmarkStart w:id="10" w:name="_Toc28359086"/>
    </w:p>
    <w:p w14:paraId="7649E524">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8.2采购代理机构信息</w:t>
      </w:r>
      <w:bookmarkEnd w:id="9"/>
      <w:bookmarkEnd w:id="10"/>
    </w:p>
    <w:p w14:paraId="6F6629EC">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名 称：安阳市方正招标采购服务有限责任公司  　</w:t>
      </w:r>
    </w:p>
    <w:p w14:paraId="12EC6AF3">
      <w:pPr>
        <w:spacing w:line="360" w:lineRule="auto"/>
        <w:ind w:left="1678" w:leftChars="342" w:hanging="960" w:hangingChars="400"/>
        <w:rPr>
          <w:rFonts w:ascii="宋体" w:hAnsi="宋体"/>
          <w:color w:val="auto"/>
          <w:sz w:val="24"/>
          <w:szCs w:val="24"/>
          <w:highlight w:val="none"/>
        </w:rPr>
      </w:pPr>
      <w:r>
        <w:rPr>
          <w:rFonts w:hint="eastAsia" w:ascii="宋体" w:hAnsi="宋体"/>
          <w:color w:val="auto"/>
          <w:sz w:val="24"/>
          <w:szCs w:val="24"/>
          <w:highlight w:val="none"/>
        </w:rPr>
        <w:t>地　址：安阳市安钢大道39号（人民大道北地下道口南侧、安阳粮食产业集团-后院办公楼五楼）　</w:t>
      </w:r>
    </w:p>
    <w:p w14:paraId="582903AC">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 xml:space="preserve">联系人：白杨  </w:t>
      </w:r>
    </w:p>
    <w:p w14:paraId="2673C017">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w:t>
      </w:r>
      <w:bookmarkStart w:id="11" w:name="_Toc28359010"/>
      <w:bookmarkStart w:id="12" w:name="_Toc28359087"/>
      <w:r>
        <w:rPr>
          <w:rFonts w:hint="eastAsia" w:ascii="宋体" w:hAnsi="宋体"/>
          <w:color w:val="auto"/>
          <w:sz w:val="24"/>
          <w:szCs w:val="24"/>
          <w:highlight w:val="none"/>
        </w:rPr>
        <w:t>0372-2283981、2283982   财务部咨询电话：0372-2283983　</w:t>
      </w:r>
    </w:p>
    <w:p w14:paraId="5E9F3C51">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8.3项目</w:t>
      </w:r>
      <w:r>
        <w:rPr>
          <w:rFonts w:ascii="宋体" w:hAnsi="宋体" w:cs="宋体"/>
          <w:color w:val="auto"/>
          <w:sz w:val="24"/>
          <w:szCs w:val="24"/>
          <w:highlight w:val="none"/>
        </w:rPr>
        <w:t>联系方式</w:t>
      </w:r>
      <w:bookmarkEnd w:id="11"/>
      <w:bookmarkEnd w:id="12"/>
    </w:p>
    <w:p w14:paraId="136F48A8">
      <w:pPr>
        <w:pStyle w:val="6"/>
        <w:spacing w:line="360" w:lineRule="auto"/>
        <w:ind w:firstLine="720" w:firstLineChars="300"/>
        <w:rPr>
          <w:rFonts w:hAnsi="宋体"/>
          <w:color w:val="auto"/>
          <w:sz w:val="24"/>
          <w:szCs w:val="24"/>
          <w:highlight w:val="none"/>
        </w:rPr>
      </w:pPr>
      <w:r>
        <w:rPr>
          <w:rFonts w:hint="eastAsia" w:hAnsi="宋体"/>
          <w:color w:val="auto"/>
          <w:sz w:val="24"/>
          <w:szCs w:val="24"/>
          <w:highlight w:val="none"/>
        </w:rPr>
        <w:t xml:space="preserve">项目联系人：白杨  </w:t>
      </w:r>
    </w:p>
    <w:p w14:paraId="77875572">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联系方式：13503729025</w:t>
      </w:r>
    </w:p>
    <w:p w14:paraId="6F25367F">
      <w:pPr>
        <w:pStyle w:val="14"/>
        <w:shd w:val="clear" w:color="auto" w:fill="FFFFFF"/>
        <w:adjustRightInd w:val="0"/>
        <w:spacing w:before="50" w:beforeAutospacing="0" w:after="0" w:afterAutospacing="0" w:line="300" w:lineRule="auto"/>
        <w:rPr>
          <w:color w:val="auto"/>
          <w:highlight w:val="none"/>
        </w:rPr>
      </w:pPr>
    </w:p>
    <w:p w14:paraId="5382F6F6">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9</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网</w:t>
      </w:r>
      <w:r>
        <w:rPr>
          <w:rFonts w:ascii="黑体" w:hAnsi="黑体" w:eastAsia="黑体"/>
          <w:b/>
          <w:color w:val="auto"/>
          <w:sz w:val="28"/>
          <w:szCs w:val="28"/>
          <w:highlight w:val="none"/>
        </w:rPr>
        <w:t>上</w:t>
      </w:r>
      <w:r>
        <w:rPr>
          <w:rFonts w:hint="eastAsia" w:ascii="黑体" w:hAnsi="黑体" w:eastAsia="黑体"/>
          <w:b/>
          <w:color w:val="auto"/>
          <w:sz w:val="28"/>
          <w:szCs w:val="28"/>
          <w:highlight w:val="none"/>
        </w:rPr>
        <w:t>电子交易提示：</w:t>
      </w:r>
      <w:r>
        <w:rPr>
          <w:rFonts w:ascii="黑体" w:hAnsi="黑体" w:eastAsia="黑体"/>
          <w:b/>
          <w:color w:val="auto"/>
          <w:sz w:val="28"/>
          <w:szCs w:val="28"/>
          <w:highlight w:val="none"/>
        </w:rPr>
        <w:t xml:space="preserve"> </w:t>
      </w:r>
    </w:p>
    <w:p w14:paraId="258FAD24">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.1</w:t>
      </w:r>
      <w:r>
        <w:rPr>
          <w:rFonts w:hint="eastAsia" w:ascii="宋体" w:hAnsi="宋体"/>
          <w:color w:val="auto"/>
          <w:sz w:val="24"/>
          <w:szCs w:val="24"/>
          <w:highlight w:val="none"/>
        </w:rPr>
        <w:t xml:space="preserve"> 注</w:t>
      </w:r>
      <w:r>
        <w:rPr>
          <w:rFonts w:ascii="宋体" w:hAnsi="宋体"/>
          <w:color w:val="auto"/>
          <w:sz w:val="24"/>
          <w:szCs w:val="24"/>
          <w:highlight w:val="none"/>
        </w:rPr>
        <w:t>册</w:t>
      </w:r>
      <w:r>
        <w:rPr>
          <w:rFonts w:hint="eastAsia" w:ascii="宋体" w:hAnsi="宋体"/>
          <w:color w:val="auto"/>
          <w:sz w:val="24"/>
          <w:szCs w:val="24"/>
          <w:highlight w:val="none"/>
        </w:rPr>
        <w:t>：投标人完成注</w:t>
      </w:r>
      <w:r>
        <w:rPr>
          <w:rFonts w:ascii="宋体" w:hAnsi="宋体"/>
          <w:color w:val="auto"/>
          <w:sz w:val="24"/>
          <w:szCs w:val="24"/>
          <w:highlight w:val="none"/>
        </w:rPr>
        <w:t>册</w:t>
      </w:r>
      <w:r>
        <w:rPr>
          <w:rFonts w:hint="eastAsia" w:ascii="宋体" w:hAnsi="宋体"/>
          <w:color w:val="auto"/>
          <w:sz w:val="24"/>
          <w:szCs w:val="24"/>
          <w:highlight w:val="none"/>
        </w:rPr>
        <w:t>、办理数字证书后</w:t>
      </w:r>
      <w:r>
        <w:rPr>
          <w:rFonts w:ascii="宋体" w:hAnsi="宋体"/>
          <w:color w:val="auto"/>
          <w:sz w:val="24"/>
          <w:szCs w:val="24"/>
          <w:highlight w:val="none"/>
        </w:rPr>
        <w:t>，方可</w:t>
      </w:r>
      <w:r>
        <w:rPr>
          <w:rFonts w:hint="eastAsia" w:ascii="宋体" w:hAnsi="宋体"/>
          <w:color w:val="auto"/>
          <w:sz w:val="24"/>
          <w:szCs w:val="24"/>
          <w:highlight w:val="none"/>
        </w:rPr>
        <w:t>获</w:t>
      </w:r>
      <w:r>
        <w:rPr>
          <w:rFonts w:ascii="宋体" w:hAnsi="宋体"/>
          <w:color w:val="auto"/>
          <w:sz w:val="24"/>
          <w:szCs w:val="24"/>
          <w:highlight w:val="none"/>
        </w:rPr>
        <w:t>取谈判文件、</w:t>
      </w:r>
      <w:r>
        <w:rPr>
          <w:rFonts w:hint="eastAsia" w:ascii="宋体" w:hAnsi="宋体"/>
          <w:color w:val="auto"/>
          <w:sz w:val="24"/>
          <w:szCs w:val="24"/>
          <w:highlight w:val="none"/>
        </w:rPr>
        <w:t>参</w:t>
      </w:r>
      <w:r>
        <w:rPr>
          <w:rFonts w:ascii="宋体" w:hAnsi="宋体"/>
          <w:color w:val="auto"/>
          <w:sz w:val="24"/>
          <w:szCs w:val="24"/>
          <w:highlight w:val="none"/>
        </w:rPr>
        <w:t>加</w:t>
      </w:r>
      <w:r>
        <w:rPr>
          <w:rFonts w:hint="eastAsia" w:ascii="宋体" w:hAnsi="宋体"/>
          <w:color w:val="auto"/>
          <w:sz w:val="24"/>
          <w:szCs w:val="24"/>
          <w:highlight w:val="none"/>
        </w:rPr>
        <w:t>投标等网上电子交易。</w:t>
      </w:r>
    </w:p>
    <w:p w14:paraId="0F9E65D3">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9.2 获取谈判文件：</w:t>
      </w:r>
      <w:r>
        <w:rPr>
          <w:rFonts w:ascii="宋体" w:hAnsi="宋体"/>
          <w:color w:val="auto"/>
          <w:sz w:val="24"/>
          <w:szCs w:val="24"/>
          <w:highlight w:val="none"/>
        </w:rPr>
        <w:t>按</w:t>
      </w:r>
      <w:r>
        <w:rPr>
          <w:rFonts w:hint="eastAsia" w:ascii="宋体" w:hAnsi="宋体"/>
          <w:color w:val="auto"/>
          <w:sz w:val="24"/>
          <w:szCs w:val="24"/>
          <w:highlight w:val="none"/>
        </w:rPr>
        <w:t>本</w:t>
      </w:r>
      <w:r>
        <w:rPr>
          <w:rFonts w:ascii="宋体" w:hAnsi="宋体"/>
          <w:color w:val="auto"/>
          <w:sz w:val="24"/>
          <w:szCs w:val="24"/>
          <w:highlight w:val="none"/>
        </w:rPr>
        <w:t>章第</w:t>
      </w:r>
      <w:r>
        <w:rPr>
          <w:rFonts w:hint="eastAsia" w:ascii="宋体" w:hAnsi="宋体"/>
          <w:color w:val="auto"/>
          <w:sz w:val="24"/>
          <w:szCs w:val="24"/>
          <w:highlight w:val="none"/>
        </w:rPr>
        <w:t>3条</w:t>
      </w:r>
      <w:r>
        <w:rPr>
          <w:rFonts w:ascii="宋体" w:hAnsi="宋体"/>
          <w:color w:val="auto"/>
          <w:sz w:val="24"/>
          <w:szCs w:val="24"/>
          <w:highlight w:val="none"/>
        </w:rPr>
        <w:t>“</w:t>
      </w:r>
      <w:r>
        <w:rPr>
          <w:rFonts w:hint="eastAsia" w:ascii="宋体" w:hAnsi="宋体"/>
          <w:color w:val="auto"/>
          <w:sz w:val="24"/>
          <w:szCs w:val="24"/>
          <w:highlight w:val="none"/>
        </w:rPr>
        <w:t>获取谈判文件</w:t>
      </w:r>
      <w:r>
        <w:rPr>
          <w:rFonts w:ascii="宋体" w:hAnsi="宋体"/>
          <w:color w:val="auto"/>
          <w:sz w:val="24"/>
          <w:szCs w:val="24"/>
          <w:highlight w:val="none"/>
        </w:rPr>
        <w:t>”</w:t>
      </w:r>
      <w:r>
        <w:rPr>
          <w:rFonts w:hint="eastAsia" w:ascii="宋体" w:hAnsi="宋体"/>
          <w:color w:val="auto"/>
          <w:sz w:val="24"/>
          <w:szCs w:val="24"/>
          <w:highlight w:val="none"/>
        </w:rPr>
        <w:t>办</w:t>
      </w:r>
      <w:r>
        <w:rPr>
          <w:rFonts w:ascii="宋体" w:hAnsi="宋体"/>
          <w:color w:val="auto"/>
          <w:sz w:val="24"/>
          <w:szCs w:val="24"/>
          <w:highlight w:val="none"/>
        </w:rPr>
        <w:t>理。</w:t>
      </w:r>
    </w:p>
    <w:p w14:paraId="70B9904D">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9.3 谈判文件的澄清与修改或延期的</w:t>
      </w:r>
      <w:r>
        <w:rPr>
          <w:rFonts w:ascii="宋体" w:hAnsi="宋体"/>
          <w:color w:val="auto"/>
          <w:sz w:val="24"/>
          <w:szCs w:val="24"/>
          <w:highlight w:val="none"/>
        </w:rPr>
        <w:t>通知</w:t>
      </w:r>
      <w:r>
        <w:rPr>
          <w:rFonts w:hint="eastAsia" w:ascii="宋体" w:hAnsi="宋体"/>
          <w:color w:val="auto"/>
          <w:sz w:val="24"/>
          <w:szCs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条“2.4 谈判文件的澄清、修改、补充的通知，及相应时间变更</w:t>
      </w:r>
      <w:r>
        <w:rPr>
          <w:rFonts w:ascii="宋体" w:hAnsi="宋体"/>
          <w:color w:val="auto"/>
          <w:sz w:val="24"/>
          <w:szCs w:val="24"/>
          <w:highlight w:val="none"/>
        </w:rPr>
        <w:t>”执行</w:t>
      </w:r>
      <w:r>
        <w:rPr>
          <w:rFonts w:hint="eastAsia" w:ascii="宋体" w:hAnsi="宋体"/>
          <w:color w:val="auto"/>
          <w:sz w:val="24"/>
          <w:szCs w:val="24"/>
          <w:highlight w:val="none"/>
        </w:rPr>
        <w:t>。</w:t>
      </w:r>
      <w:r>
        <w:rPr>
          <w:rFonts w:hint="eastAsia" w:ascii="黑体" w:hAnsi="黑体" w:eastAsia="黑体" w:cs="楷体_GB2312"/>
          <w:b/>
          <w:color w:val="auto"/>
          <w:sz w:val="24"/>
          <w:highlight w:val="none"/>
          <w:lang w:val="zh-CN"/>
        </w:rPr>
        <w:t>不</w:t>
      </w:r>
      <w:r>
        <w:rPr>
          <w:rFonts w:ascii="黑体" w:hAnsi="黑体" w:eastAsia="黑体" w:cs="楷体_GB2312"/>
          <w:b/>
          <w:color w:val="auto"/>
          <w:sz w:val="24"/>
          <w:highlight w:val="none"/>
          <w:lang w:val="zh-CN"/>
        </w:rPr>
        <w:t>另行通知。</w:t>
      </w:r>
    </w:p>
    <w:p w14:paraId="2ABAFFAA">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w:t>
      </w:r>
      <w:r>
        <w:rPr>
          <w:rFonts w:ascii="宋体" w:hAnsi="宋体"/>
          <w:color w:val="auto"/>
          <w:sz w:val="24"/>
          <w:szCs w:val="24"/>
          <w:highlight w:val="none"/>
        </w:rPr>
        <w:t>.4</w:t>
      </w:r>
      <w:r>
        <w:rPr>
          <w:rFonts w:hint="eastAsia" w:ascii="宋体" w:hAnsi="宋体"/>
          <w:color w:val="auto"/>
          <w:sz w:val="24"/>
          <w:szCs w:val="24"/>
          <w:highlight w:val="none"/>
        </w:rPr>
        <w:t xml:space="preserve"> 响应文件编制：在殷都区公共资源交易中心网站下载并安装投标文件制作工具、进行编制，按《谈判文件》第三章“投标人须知”第3条第</w:t>
      </w:r>
      <w:r>
        <w:rPr>
          <w:rFonts w:ascii="宋体" w:hAnsi="宋体"/>
          <w:color w:val="auto"/>
          <w:sz w:val="24"/>
          <w:szCs w:val="24"/>
          <w:highlight w:val="none"/>
        </w:rPr>
        <w:t>7</w:t>
      </w:r>
      <w:r>
        <w:rPr>
          <w:rFonts w:hint="eastAsia" w:ascii="宋体" w:hAnsi="宋体"/>
          <w:color w:val="auto"/>
          <w:sz w:val="24"/>
          <w:szCs w:val="24"/>
          <w:highlight w:val="none"/>
        </w:rPr>
        <w:t>款“</w:t>
      </w:r>
      <w:r>
        <w:rPr>
          <w:rFonts w:ascii="宋体" w:hAnsi="宋体"/>
          <w:color w:val="auto"/>
          <w:sz w:val="24"/>
          <w:szCs w:val="24"/>
          <w:highlight w:val="none"/>
        </w:rPr>
        <w:t>3.7</w:t>
      </w:r>
      <w:r>
        <w:rPr>
          <w:rFonts w:hint="eastAsia" w:ascii="宋体" w:hAnsi="宋体"/>
          <w:color w:val="auto"/>
          <w:sz w:val="24"/>
          <w:szCs w:val="24"/>
          <w:highlight w:val="none"/>
        </w:rPr>
        <w:t>投标文件的编制”执行，</w:t>
      </w:r>
      <w:r>
        <w:rPr>
          <w:rFonts w:hint="eastAsia" w:ascii="黑体" w:hAnsi="黑体" w:eastAsia="黑体" w:cs="楷体_GB2312"/>
          <w:b/>
          <w:color w:val="auto"/>
          <w:sz w:val="24"/>
          <w:highlight w:val="none"/>
          <w:lang w:val="zh-CN"/>
        </w:rPr>
        <w:t>否则将会评定为无效投标。</w:t>
      </w:r>
    </w:p>
    <w:p w14:paraId="5267005B">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9.5 响应文件递交：</w:t>
      </w:r>
      <w:r>
        <w:rPr>
          <w:rFonts w:hint="eastAsia" w:ascii="宋体" w:hAnsi="宋体"/>
          <w:color w:val="auto"/>
          <w:sz w:val="24"/>
          <w:szCs w:val="24"/>
          <w:highlight w:val="none"/>
        </w:rPr>
        <w:t>投标人应在投标截止时间前上传加密的电子投标文件（*.aytf）到殷都区公共资源交易平台，</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hAnsi="宋体"/>
          <w:color w:val="auto"/>
          <w:sz w:val="24"/>
          <w:szCs w:val="24"/>
          <w:highlight w:val="none"/>
        </w:rPr>
        <w:t>4. 投标（响应文件的递交）”</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20814810">
      <w:pPr>
        <w:widowControl w:val="0"/>
        <w:tabs>
          <w:tab w:val="left" w:pos="39"/>
          <w:tab w:val="left" w:pos="96"/>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9</w:t>
      </w:r>
      <w:r>
        <w:rPr>
          <w:rFonts w:ascii="宋体"/>
          <w:color w:val="auto"/>
          <w:sz w:val="24"/>
          <w:szCs w:val="24"/>
          <w:highlight w:val="none"/>
        </w:rPr>
        <w:t>.</w:t>
      </w:r>
      <w:r>
        <w:rPr>
          <w:rFonts w:hint="eastAsia" w:ascii="宋体"/>
          <w:color w:val="auto"/>
          <w:sz w:val="24"/>
          <w:szCs w:val="24"/>
          <w:highlight w:val="none"/>
        </w:rPr>
        <w:t>6 响应文件</w:t>
      </w:r>
      <w:r>
        <w:rPr>
          <w:rFonts w:hint="eastAsia" w:ascii="宋体" w:hAnsi="宋体"/>
          <w:color w:val="auto"/>
          <w:sz w:val="24"/>
          <w:szCs w:val="24"/>
          <w:highlight w:val="none"/>
        </w:rPr>
        <w:t>解密</w:t>
      </w:r>
      <w:r>
        <w:rPr>
          <w:rFonts w:hint="eastAsia" w:ascii="宋体"/>
          <w:color w:val="auto"/>
          <w:sz w:val="24"/>
          <w:szCs w:val="24"/>
          <w:highlight w:val="none"/>
        </w:rPr>
        <w:t>：</w:t>
      </w:r>
      <w:r>
        <w:rPr>
          <w:bCs/>
          <w:color w:val="auto"/>
          <w:sz w:val="24"/>
          <w:szCs w:val="24"/>
          <w:highlight w:val="none"/>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5</w:t>
      </w:r>
      <w:r>
        <w:rPr>
          <w:rFonts w:hint="eastAsia" w:ascii="宋体" w:hAnsi="宋体"/>
          <w:color w:val="auto"/>
          <w:sz w:val="24"/>
          <w:szCs w:val="24"/>
          <w:highlight w:val="none"/>
        </w:rPr>
        <w:t>条</w:t>
      </w:r>
      <w:r>
        <w:rPr>
          <w:rFonts w:ascii="宋体" w:hAnsi="宋体"/>
          <w:color w:val="auto"/>
          <w:sz w:val="24"/>
          <w:szCs w:val="24"/>
          <w:highlight w:val="none"/>
        </w:rPr>
        <w:t xml:space="preserve">“5 </w:t>
      </w:r>
      <w:r>
        <w:rPr>
          <w:rFonts w:hint="eastAsia" w:ascii="宋体"/>
          <w:color w:val="auto"/>
          <w:sz w:val="24"/>
          <w:szCs w:val="24"/>
          <w:highlight w:val="none"/>
        </w:rPr>
        <w:t>开标（响应文件的开启）</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宋体" w:hAnsi="宋体" w:cs="楷体_GB2312"/>
          <w:color w:val="auto"/>
          <w:sz w:val="24"/>
          <w:highlight w:val="none"/>
          <w:lang w:val="zh-CN"/>
        </w:rPr>
        <w:t>否</w:t>
      </w:r>
      <w:r>
        <w:rPr>
          <w:rFonts w:ascii="宋体" w:hAnsi="宋体" w:cs="楷体_GB2312"/>
          <w:color w:val="auto"/>
          <w:sz w:val="24"/>
          <w:highlight w:val="none"/>
          <w:lang w:val="zh-CN"/>
        </w:rPr>
        <w:t>则</w:t>
      </w:r>
      <w:r>
        <w:rPr>
          <w:rFonts w:hint="eastAsia" w:ascii="宋体" w:hAnsi="宋体" w:cs="楷体_GB2312"/>
          <w:color w:val="auto"/>
          <w:sz w:val="24"/>
          <w:highlight w:val="none"/>
          <w:lang w:val="zh-CN"/>
        </w:rPr>
        <w:t>其投标将不能被接受</w:t>
      </w:r>
      <w:r>
        <w:rPr>
          <w:rFonts w:ascii="宋体" w:hAnsi="宋体" w:cs="楷体_GB2312"/>
          <w:color w:val="auto"/>
          <w:sz w:val="24"/>
          <w:highlight w:val="none"/>
          <w:lang w:val="zh-CN"/>
        </w:rPr>
        <w:t>。</w:t>
      </w:r>
    </w:p>
    <w:p w14:paraId="6164FFE1">
      <w:pPr>
        <w:widowControl w:val="0"/>
        <w:tabs>
          <w:tab w:val="left" w:pos="39"/>
          <w:tab w:val="left" w:pos="96"/>
        </w:tabs>
        <w:snapToGrid w:val="0"/>
        <w:spacing w:line="360" w:lineRule="auto"/>
        <w:ind w:firstLine="480" w:firstLineChars="200"/>
        <w:rPr>
          <w:rFonts w:ascii="黑体" w:hAnsi="黑体" w:eastAsia="黑体" w:cs="楷体_GB2312"/>
          <w:b/>
          <w:color w:val="auto"/>
          <w:sz w:val="24"/>
          <w:highlight w:val="none"/>
          <w:lang w:val="zh-CN"/>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谈</w:t>
      </w:r>
      <w:r>
        <w:rPr>
          <w:rFonts w:ascii="宋体" w:hAnsi="宋体"/>
          <w:color w:val="auto"/>
          <w:sz w:val="24"/>
          <w:szCs w:val="24"/>
          <w:highlight w:val="none"/>
        </w:rPr>
        <w:t>判：</w:t>
      </w:r>
      <w:r>
        <w:rPr>
          <w:rFonts w:hint="eastAsia" w:ascii="宋体" w:hAnsi="宋体"/>
          <w:color w:val="auto"/>
          <w:sz w:val="24"/>
          <w:highlight w:val="none"/>
        </w:rPr>
        <w:t>时刻关注电子开标室并及时澄清，有</w:t>
      </w:r>
      <w:r>
        <w:rPr>
          <w:rFonts w:ascii="宋体" w:hAnsi="宋体"/>
          <w:color w:val="auto"/>
          <w:sz w:val="24"/>
          <w:highlight w:val="none"/>
        </w:rPr>
        <w:t>效投标人在规定时间进行</w:t>
      </w:r>
      <w:r>
        <w:rPr>
          <w:rFonts w:hint="eastAsia" w:ascii="宋体" w:hAnsi="宋体"/>
          <w:color w:val="auto"/>
          <w:sz w:val="24"/>
          <w:highlight w:val="none"/>
        </w:rPr>
        <w:t>最后报价</w:t>
      </w:r>
      <w:r>
        <w:rPr>
          <w:rFonts w:ascii="宋体" w:hAnsi="宋体"/>
          <w:color w:val="auto"/>
          <w:sz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》第四章“评审办法”</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0602E6DA">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9.8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40F190F6">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①锁名称变更前建议先在交易系统修改单位名称为最新的，变更完成后再变更锁名称，以免因名称不一致无法正常登录系统。</w:t>
      </w:r>
    </w:p>
    <w:p w14:paraId="03B81A3C">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②锁延期之后序列号可能会发生改变（视不同CA而定），变更后需要重新进行绑定。</w:t>
      </w:r>
    </w:p>
    <w:p w14:paraId="1C9E6060">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9.9政府采购电子交易中，投标人网上电子交易的系统操作规则应以安阳市公共资源交易平台即时发布的相关规则为准。</w:t>
      </w:r>
    </w:p>
    <w:p w14:paraId="0FFDCF85">
      <w:pPr>
        <w:widowControl w:val="0"/>
        <w:tabs>
          <w:tab w:val="left" w:pos="39"/>
          <w:tab w:val="left" w:pos="96"/>
        </w:tabs>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9.10 望投标人充分熟悉网上电子交易操作流程、以便有效投标。</w:t>
      </w:r>
    </w:p>
    <w:p w14:paraId="71814542">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bCs/>
          <w:color w:val="auto"/>
          <w:sz w:val="24"/>
          <w:szCs w:val="24"/>
          <w:highlight w:val="none"/>
        </w:rPr>
        <w:t>9.11 如遇到网上系统操作等技术问题请咨询</w:t>
      </w:r>
      <w:r>
        <w:rPr>
          <w:rFonts w:hint="eastAsia" w:ascii="宋体" w:hAnsi="宋体"/>
          <w:color w:val="auto"/>
          <w:sz w:val="24"/>
          <w:szCs w:val="24"/>
          <w:highlight w:val="none"/>
        </w:rPr>
        <w:t>400-998-0000、0372-3387739。</w:t>
      </w:r>
    </w:p>
    <w:p w14:paraId="72648A09">
      <w:pPr>
        <w:widowControl w:val="0"/>
        <w:tabs>
          <w:tab w:val="left" w:pos="39"/>
          <w:tab w:val="left" w:pos="96"/>
        </w:tabs>
        <w:snapToGrid w:val="0"/>
        <w:spacing w:line="360" w:lineRule="auto"/>
        <w:ind w:firstLine="540" w:firstLineChars="225"/>
        <w:rPr>
          <w:rFonts w:ascii="宋体"/>
          <w:color w:val="auto"/>
          <w:sz w:val="24"/>
          <w:szCs w:val="24"/>
          <w:highlight w:val="none"/>
        </w:rPr>
      </w:pPr>
    </w:p>
    <w:p w14:paraId="77C2EE78">
      <w:pPr>
        <w:widowControl w:val="0"/>
        <w:tabs>
          <w:tab w:val="left" w:pos="39"/>
          <w:tab w:val="left" w:pos="96"/>
        </w:tabs>
        <w:snapToGrid w:val="0"/>
        <w:spacing w:line="360" w:lineRule="auto"/>
        <w:ind w:firstLine="5220" w:firstLineChars="2175"/>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14:paraId="686A7453">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二〇二六年</w:t>
      </w:r>
      <w:r>
        <w:rPr>
          <w:rFonts w:hint="eastAsia" w:ascii="宋体"/>
          <w:color w:val="auto"/>
          <w:sz w:val="24"/>
          <w:szCs w:val="24"/>
          <w:highlight w:val="none"/>
          <w:lang w:val="en-US" w:eastAsia="zh-CN"/>
        </w:rPr>
        <w:t>四</w:t>
      </w:r>
      <w:r>
        <w:rPr>
          <w:rFonts w:hint="eastAsia" w:ascii="宋体"/>
          <w:color w:val="auto"/>
          <w:sz w:val="24"/>
          <w:szCs w:val="24"/>
          <w:highlight w:val="none"/>
        </w:rPr>
        <w:t>月</w:t>
      </w:r>
      <w:r>
        <w:rPr>
          <w:rFonts w:hint="eastAsia" w:ascii="宋体"/>
          <w:color w:val="auto"/>
          <w:sz w:val="24"/>
          <w:szCs w:val="24"/>
          <w:highlight w:val="none"/>
          <w:lang w:eastAsia="zh-CN"/>
        </w:rPr>
        <w:t>二</w:t>
      </w:r>
      <w:r>
        <w:rPr>
          <w:rFonts w:hint="eastAsia" w:ascii="宋体"/>
          <w:color w:val="auto"/>
          <w:sz w:val="24"/>
          <w:szCs w:val="24"/>
          <w:highlight w:val="none"/>
        </w:rPr>
        <w:t>日</w:t>
      </w:r>
    </w:p>
    <w:p w14:paraId="55F7CAE6">
      <w:pPr>
        <w:widowControl w:val="0"/>
        <w:tabs>
          <w:tab w:val="left" w:pos="39"/>
          <w:tab w:val="left" w:pos="96"/>
        </w:tabs>
        <w:snapToGrid w:val="0"/>
        <w:spacing w:line="360" w:lineRule="auto"/>
        <w:ind w:firstLine="630" w:firstLineChars="225"/>
        <w:rPr>
          <w:rFonts w:ascii="宋体" w:hAnsi="宋体"/>
          <w:color w:val="auto"/>
          <w:sz w:val="24"/>
          <w:szCs w:val="24"/>
          <w:highlight w:val="none"/>
        </w:rPr>
      </w:pPr>
      <w:r>
        <w:rPr>
          <w:rFonts w:eastAsia="方正黑体简体"/>
          <w:color w:val="auto"/>
          <w:sz w:val="28"/>
          <w:szCs w:val="28"/>
          <w:highlight w:val="none"/>
        </w:rPr>
        <w:br w:type="page"/>
      </w:r>
    </w:p>
    <w:p w14:paraId="2ACCEA16">
      <w:pPr>
        <w:widowControl w:val="0"/>
        <w:snapToGrid w:val="0"/>
        <w:spacing w:line="360" w:lineRule="auto"/>
        <w:jc w:val="center"/>
        <w:outlineLvl w:val="0"/>
        <w:rPr>
          <w:rFonts w:eastAsia="方正黑体简体"/>
          <w:color w:val="auto"/>
          <w:sz w:val="36"/>
          <w:szCs w:val="36"/>
          <w:highlight w:val="none"/>
        </w:rPr>
      </w:pPr>
      <w:bookmarkStart w:id="13" w:name="_Toc206599116"/>
      <w:r>
        <w:rPr>
          <w:rFonts w:hint="eastAsia" w:eastAsia="黑体"/>
          <w:b/>
          <w:color w:val="auto"/>
          <w:sz w:val="36"/>
          <w:szCs w:val="36"/>
          <w:highlight w:val="none"/>
        </w:rPr>
        <w:t>第二章 采购项目及服务要求</w:t>
      </w:r>
      <w:bookmarkEnd w:id="13"/>
    </w:p>
    <w:p w14:paraId="5FDBF859">
      <w:pPr>
        <w:widowControl w:val="0"/>
        <w:snapToGrid w:val="0"/>
        <w:spacing w:line="360" w:lineRule="auto"/>
        <w:jc w:val="center"/>
        <w:rPr>
          <w:b/>
          <w:color w:val="auto"/>
          <w:sz w:val="28"/>
          <w:highlight w:val="none"/>
        </w:rPr>
      </w:pPr>
    </w:p>
    <w:p w14:paraId="46C3EBF1">
      <w:pPr>
        <w:widowControl w:val="0"/>
        <w:snapToGrid w:val="0"/>
        <w:spacing w:line="360" w:lineRule="auto"/>
        <w:ind w:firstLine="422" w:firstLineChars="150"/>
        <w:jc w:val="left"/>
        <w:outlineLvl w:val="1"/>
        <w:rPr>
          <w:rFonts w:ascii="黑体" w:hAnsi="黑体" w:eastAsia="黑体"/>
          <w:b/>
          <w:color w:val="auto"/>
          <w:sz w:val="28"/>
          <w:highlight w:val="none"/>
        </w:rPr>
      </w:pPr>
      <w:bookmarkStart w:id="14" w:name="_Toc206599117"/>
      <w:r>
        <w:rPr>
          <w:rFonts w:ascii="黑体" w:hAnsi="黑体" w:eastAsia="黑体"/>
          <w:b/>
          <w:color w:val="auto"/>
          <w:sz w:val="28"/>
          <w:highlight w:val="none"/>
        </w:rPr>
        <w:t xml:space="preserve">1. </w:t>
      </w:r>
      <w:r>
        <w:rPr>
          <w:rFonts w:hint="eastAsia" w:ascii="黑体" w:hAnsi="黑体" w:eastAsia="黑体"/>
          <w:b/>
          <w:color w:val="auto"/>
          <w:sz w:val="28"/>
          <w:highlight w:val="none"/>
        </w:rPr>
        <w:t>采购项目、标段（包）划分、投标报价</w:t>
      </w:r>
      <w:bookmarkEnd w:id="14"/>
    </w:p>
    <w:p w14:paraId="0F3E0956">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采购项目名称</w:t>
      </w:r>
      <w:r>
        <w:rPr>
          <w:rFonts w:hint="eastAsia"/>
          <w:color w:val="auto"/>
          <w:sz w:val="24"/>
          <w:szCs w:val="24"/>
          <w:highlight w:val="none"/>
        </w:rPr>
        <w:t>：安阳市殷都区公路事业发展中心保洁养护作业车辆定点维修保养项目</w:t>
      </w:r>
    </w:p>
    <w:p w14:paraId="64758D08">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标段（包）划分及其服务期服务地点</w:t>
      </w:r>
      <w:r>
        <w:rPr>
          <w:rFonts w:hint="eastAsia"/>
          <w:color w:val="auto"/>
          <w:sz w:val="24"/>
          <w:szCs w:val="24"/>
          <w:highlight w:val="none"/>
        </w:rPr>
        <w:t>：本次采购项目划分为</w:t>
      </w:r>
      <w:r>
        <w:rPr>
          <w:color w:val="auto"/>
          <w:sz w:val="24"/>
          <w:szCs w:val="24"/>
          <w:highlight w:val="none"/>
        </w:rPr>
        <w:t>1</w:t>
      </w:r>
      <w:r>
        <w:rPr>
          <w:rFonts w:hint="eastAsia"/>
          <w:color w:val="auto"/>
          <w:sz w:val="24"/>
          <w:szCs w:val="24"/>
          <w:highlight w:val="none"/>
        </w:rPr>
        <w:t>个标段（包）。</w:t>
      </w:r>
    </w:p>
    <w:tbl>
      <w:tblPr>
        <w:tblStyle w:val="15"/>
        <w:tblW w:w="92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790"/>
        <w:gridCol w:w="2510"/>
        <w:gridCol w:w="1701"/>
        <w:gridCol w:w="1458"/>
      </w:tblGrid>
      <w:tr w14:paraId="4DEC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255" w:type="dxa"/>
            <w:gridSpan w:val="5"/>
            <w:vAlign w:val="center"/>
          </w:tcPr>
          <w:p w14:paraId="512E6C50">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标段（包）一览表</w:t>
            </w:r>
          </w:p>
        </w:tc>
      </w:tr>
      <w:tr w14:paraId="2376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796" w:type="dxa"/>
            <w:vAlign w:val="center"/>
          </w:tcPr>
          <w:p w14:paraId="16746486">
            <w:pPr>
              <w:widowControl w:val="0"/>
              <w:snapToGrid w:val="0"/>
              <w:spacing w:line="240" w:lineRule="auto"/>
              <w:jc w:val="center"/>
              <w:rPr>
                <w:b/>
                <w:color w:val="auto"/>
                <w:sz w:val="24"/>
                <w:szCs w:val="24"/>
                <w:highlight w:val="none"/>
              </w:rPr>
            </w:pPr>
            <w:r>
              <w:rPr>
                <w:rFonts w:hint="eastAsia"/>
                <w:b/>
                <w:color w:val="auto"/>
                <w:sz w:val="24"/>
                <w:szCs w:val="24"/>
                <w:highlight w:val="none"/>
              </w:rPr>
              <w:t>项目名称</w:t>
            </w:r>
          </w:p>
        </w:tc>
        <w:tc>
          <w:tcPr>
            <w:tcW w:w="1790" w:type="dxa"/>
            <w:vAlign w:val="center"/>
          </w:tcPr>
          <w:p w14:paraId="6ED76C7A">
            <w:pPr>
              <w:widowControl w:val="0"/>
              <w:snapToGrid w:val="0"/>
              <w:spacing w:line="240" w:lineRule="auto"/>
              <w:jc w:val="center"/>
              <w:rPr>
                <w:b/>
                <w:color w:val="auto"/>
                <w:sz w:val="24"/>
                <w:szCs w:val="24"/>
                <w:highlight w:val="none"/>
              </w:rPr>
            </w:pPr>
            <w:r>
              <w:rPr>
                <w:rFonts w:hint="eastAsia"/>
                <w:b/>
                <w:color w:val="auto"/>
                <w:sz w:val="24"/>
                <w:szCs w:val="24"/>
                <w:highlight w:val="none"/>
              </w:rPr>
              <w:t>标段（包）名称</w:t>
            </w:r>
          </w:p>
        </w:tc>
        <w:tc>
          <w:tcPr>
            <w:tcW w:w="2510" w:type="dxa"/>
            <w:vAlign w:val="center"/>
          </w:tcPr>
          <w:p w14:paraId="1123D600">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标段（包）内容（范围）</w:t>
            </w:r>
          </w:p>
        </w:tc>
        <w:tc>
          <w:tcPr>
            <w:tcW w:w="1701" w:type="dxa"/>
            <w:vAlign w:val="center"/>
          </w:tcPr>
          <w:p w14:paraId="6F16B00D">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合同履行期限</w:t>
            </w:r>
          </w:p>
          <w:p w14:paraId="1F5D856C">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（服务期）</w:t>
            </w:r>
          </w:p>
        </w:tc>
        <w:tc>
          <w:tcPr>
            <w:tcW w:w="1458" w:type="dxa"/>
            <w:vAlign w:val="center"/>
          </w:tcPr>
          <w:p w14:paraId="10BBE781">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服务地点</w:t>
            </w:r>
          </w:p>
        </w:tc>
      </w:tr>
      <w:tr w14:paraId="60EE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96" w:type="dxa"/>
            <w:vAlign w:val="center"/>
          </w:tcPr>
          <w:p w14:paraId="67E88B5C">
            <w:pPr>
              <w:widowControl w:val="0"/>
              <w:adjustRightInd w:val="0"/>
              <w:snapToGrid w:val="0"/>
              <w:spacing w:line="240" w:lineRule="auto"/>
              <w:rPr>
                <w:color w:val="auto"/>
                <w:sz w:val="24"/>
                <w:szCs w:val="24"/>
                <w:highlight w:val="none"/>
              </w:rPr>
            </w:pPr>
            <w:r>
              <w:rPr>
                <w:rFonts w:hint="eastAsia"/>
                <w:color w:val="auto"/>
                <w:sz w:val="24"/>
                <w:szCs w:val="24"/>
                <w:highlight w:val="none"/>
              </w:rPr>
              <w:t>安阳市殷都区公路事业发展中心保洁养护作业车辆定点维修保养项目</w:t>
            </w:r>
          </w:p>
        </w:tc>
        <w:tc>
          <w:tcPr>
            <w:tcW w:w="1790" w:type="dxa"/>
            <w:vAlign w:val="center"/>
          </w:tcPr>
          <w:p w14:paraId="13F162EA">
            <w:pPr>
              <w:widowControl w:val="0"/>
              <w:adjustRightInd w:val="0"/>
              <w:snapToGrid w:val="0"/>
              <w:spacing w:line="240" w:lineRule="auto"/>
              <w:rPr>
                <w:color w:val="auto"/>
                <w:sz w:val="24"/>
                <w:szCs w:val="24"/>
                <w:highlight w:val="none"/>
              </w:rPr>
            </w:pPr>
            <w:r>
              <w:rPr>
                <w:rFonts w:hint="eastAsia"/>
                <w:color w:val="auto"/>
                <w:sz w:val="24"/>
                <w:szCs w:val="24"/>
                <w:highlight w:val="none"/>
              </w:rPr>
              <w:t>同项目名称</w:t>
            </w:r>
          </w:p>
        </w:tc>
        <w:tc>
          <w:tcPr>
            <w:tcW w:w="2510" w:type="dxa"/>
            <w:vAlign w:val="center"/>
          </w:tcPr>
          <w:p w14:paraId="4F677695">
            <w:pPr>
              <w:widowControl w:val="0"/>
              <w:adjustRightInd w:val="0"/>
              <w:snapToGrid w:val="0"/>
              <w:spacing w:line="240" w:lineRule="auto"/>
              <w:rPr>
                <w:color w:val="auto"/>
                <w:sz w:val="24"/>
                <w:szCs w:val="24"/>
                <w:highlight w:val="none"/>
              </w:rPr>
            </w:pPr>
            <w:r>
              <w:rPr>
                <w:rFonts w:hint="eastAsia"/>
                <w:color w:val="auto"/>
                <w:sz w:val="24"/>
                <w:szCs w:val="24"/>
                <w:highlight w:val="none"/>
              </w:rPr>
              <w:t>见“第二章第</w:t>
            </w:r>
            <w:r>
              <w:rPr>
                <w:color w:val="auto"/>
                <w:sz w:val="24"/>
                <w:szCs w:val="24"/>
                <w:highlight w:val="none"/>
              </w:rPr>
              <w:t>2</w:t>
            </w:r>
            <w:r>
              <w:rPr>
                <w:rFonts w:hint="eastAsia"/>
                <w:color w:val="auto"/>
                <w:sz w:val="24"/>
                <w:szCs w:val="24"/>
                <w:highlight w:val="none"/>
              </w:rPr>
              <w:t>条：标段（包）内容（范围）及服务要求”</w:t>
            </w:r>
          </w:p>
        </w:tc>
        <w:tc>
          <w:tcPr>
            <w:tcW w:w="1701" w:type="dxa"/>
            <w:vAlign w:val="center"/>
          </w:tcPr>
          <w:p w14:paraId="7CE88980">
            <w:pPr>
              <w:widowControl w:val="0"/>
              <w:adjustRightInd w:val="0"/>
              <w:snapToGrid w:val="0"/>
              <w:spacing w:line="240" w:lineRule="auto"/>
              <w:rPr>
                <w:color w:val="auto"/>
                <w:sz w:val="24"/>
                <w:szCs w:val="24"/>
                <w:highlight w:val="none"/>
              </w:rPr>
            </w:pPr>
            <w:r>
              <w:rPr>
                <w:rFonts w:hint="eastAsia"/>
                <w:color w:val="auto"/>
                <w:sz w:val="24"/>
                <w:szCs w:val="24"/>
                <w:highlight w:val="none"/>
              </w:rPr>
              <w:t>见谈判公告1.6</w:t>
            </w:r>
            <w:r>
              <w:rPr>
                <w:color w:val="auto"/>
                <w:sz w:val="24"/>
                <w:szCs w:val="24"/>
                <w:highlight w:val="none"/>
              </w:rPr>
              <w:t xml:space="preserve"> </w:t>
            </w:r>
          </w:p>
        </w:tc>
        <w:tc>
          <w:tcPr>
            <w:tcW w:w="1458" w:type="dxa"/>
            <w:vAlign w:val="center"/>
          </w:tcPr>
          <w:p w14:paraId="07D84918">
            <w:pPr>
              <w:widowControl w:val="0"/>
              <w:adjustRightInd w:val="0"/>
              <w:snapToGrid w:val="0"/>
              <w:spacing w:line="240" w:lineRule="auto"/>
              <w:rPr>
                <w:color w:val="auto"/>
                <w:sz w:val="24"/>
                <w:szCs w:val="24"/>
                <w:highlight w:val="none"/>
              </w:rPr>
            </w:pPr>
            <w:r>
              <w:rPr>
                <w:rFonts w:hint="eastAsia"/>
                <w:color w:val="auto"/>
                <w:sz w:val="24"/>
                <w:szCs w:val="24"/>
                <w:highlight w:val="none"/>
              </w:rPr>
              <w:t>采购人指定地点</w:t>
            </w:r>
          </w:p>
        </w:tc>
      </w:tr>
    </w:tbl>
    <w:p w14:paraId="3923010D">
      <w:pPr>
        <w:spacing w:line="560" w:lineRule="exact"/>
        <w:ind w:firstLine="482" w:firstLineChars="200"/>
        <w:rPr>
          <w:rFonts w:ascii="宋体" w:hAnsi="宋体"/>
          <w:b/>
          <w:color w:val="auto"/>
          <w:sz w:val="24"/>
          <w:szCs w:val="24"/>
          <w:highlight w:val="none"/>
        </w:rPr>
      </w:pPr>
      <w:r>
        <w:rPr>
          <w:rFonts w:ascii="宋体" w:hAnsi="宋体"/>
          <w:b/>
          <w:color w:val="auto"/>
          <w:sz w:val="24"/>
          <w:szCs w:val="24"/>
          <w:highlight w:val="none"/>
        </w:rPr>
        <w:t xml:space="preserve">1.3 </w:t>
      </w:r>
      <w:r>
        <w:rPr>
          <w:rFonts w:hint="eastAsia" w:ascii="宋体" w:hAnsi="宋体"/>
          <w:b/>
          <w:color w:val="auto"/>
          <w:sz w:val="24"/>
          <w:szCs w:val="24"/>
          <w:highlight w:val="none"/>
        </w:rPr>
        <w:t>投标报价（价格构成）</w:t>
      </w:r>
    </w:p>
    <w:p w14:paraId="29111C79">
      <w:pPr>
        <w:widowControl w:val="0"/>
        <w:snapToGrid w:val="0"/>
        <w:spacing w:line="360" w:lineRule="auto"/>
        <w:ind w:firstLine="480" w:firstLineChars="200"/>
        <w:jc w:val="left"/>
        <w:rPr>
          <w:color w:val="auto"/>
          <w:sz w:val="24"/>
          <w:szCs w:val="24"/>
          <w:highlight w:val="none"/>
        </w:rPr>
      </w:pPr>
      <w:r>
        <w:rPr>
          <w:rFonts w:ascii="宋体" w:hAnsi="宋体"/>
          <w:color w:val="auto"/>
          <w:sz w:val="24"/>
          <w:szCs w:val="24"/>
          <w:highlight w:val="none"/>
        </w:rPr>
        <w:t xml:space="preserve">1.3.1 </w:t>
      </w:r>
      <w:r>
        <w:rPr>
          <w:rFonts w:hint="eastAsia"/>
          <w:color w:val="auto"/>
          <w:sz w:val="24"/>
          <w:szCs w:val="24"/>
          <w:highlight w:val="none"/>
        </w:rPr>
        <w:t>投标人的投标报价应为达到服务要求下的服务完工总包价，包括车辆维修的人工费、维修工时费、维修或更换零配件费、配件材料价款、</w:t>
      </w:r>
      <w:r>
        <w:rPr>
          <w:rFonts w:hint="eastAsia" w:ascii="宋体" w:hAnsi="宋体"/>
          <w:color w:val="auto"/>
          <w:sz w:val="24"/>
          <w:szCs w:val="24"/>
          <w:highlight w:val="none"/>
        </w:rPr>
        <w:t>知识产权（如有）、保险（如需）、所涉货物包装、</w:t>
      </w:r>
      <w:r>
        <w:rPr>
          <w:rFonts w:hint="eastAsia"/>
          <w:color w:val="auto"/>
          <w:sz w:val="24"/>
          <w:szCs w:val="24"/>
          <w:highlight w:val="none"/>
        </w:rPr>
        <w:t>售后及技术服务费、相关税费等与采购项目（标段（包））相关的、必须的款项及费用（包括未列明而完成交验所必须的所有费用、材料、工具、设施）。</w:t>
      </w:r>
      <w:r>
        <w:rPr>
          <w:rFonts w:hint="eastAsia" w:ascii="宋体" w:hAnsi="宋体"/>
          <w:color w:val="auto"/>
          <w:sz w:val="24"/>
          <w:szCs w:val="24"/>
          <w:highlight w:val="none"/>
        </w:rPr>
        <w:t>成交价格在成交合同范围内固定不变。</w:t>
      </w:r>
    </w:p>
    <w:p w14:paraId="03C846D0">
      <w:pPr>
        <w:widowControl w:val="0"/>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1.3.2</w:t>
      </w:r>
      <w:r>
        <w:rPr>
          <w:rFonts w:hint="eastAsia" w:ascii="宋体" w:hAnsi="宋体"/>
          <w:color w:val="auto"/>
          <w:sz w:val="24"/>
          <w:szCs w:val="24"/>
          <w:highlight w:val="none"/>
        </w:rPr>
        <w:t>本次竞争性谈判共二次报价（含系统中开标一览表报价共二次价格谈判）。谈判小组未对谈判文件作优化变更增加的，谈判中的报价均不应超过前次报价，投标人擅自调高报价的，谈判小组将按二次报价中的最低报价作为有效报价。投标人拒绝接受上述意见的，谈判小组将视为变相在提交投标文件（响应文件）截止时间后撤回投标文件（响应文件），并评定其为无效投标。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p>
    <w:p w14:paraId="6B630FD0">
      <w:pPr>
        <w:autoSpaceDE w:val="0"/>
        <w:autoSpaceDN w:val="0"/>
        <w:adjustRightInd w:val="0"/>
        <w:snapToGrid w:val="0"/>
        <w:spacing w:before="156" w:beforeLines="50" w:line="300" w:lineRule="auto"/>
        <w:ind w:firstLine="569" w:firstLineChars="236"/>
        <w:jc w:val="left"/>
        <w:rPr>
          <w:rFonts w:ascii="宋体" w:hAnsi="宋体"/>
          <w:b/>
          <w:color w:val="auto"/>
          <w:sz w:val="24"/>
          <w:szCs w:val="24"/>
          <w:highlight w:val="none"/>
        </w:rPr>
      </w:pPr>
      <w:r>
        <w:rPr>
          <w:rFonts w:hint="eastAsia" w:ascii="宋体" w:hAnsi="宋体"/>
          <w:b/>
          <w:color w:val="auto"/>
          <w:sz w:val="24"/>
          <w:szCs w:val="24"/>
          <w:highlight w:val="none"/>
        </w:rPr>
        <w:t>价</w:t>
      </w:r>
      <w:r>
        <w:rPr>
          <w:rFonts w:ascii="宋体" w:hAnsi="宋体"/>
          <w:b/>
          <w:color w:val="auto"/>
          <w:sz w:val="24"/>
          <w:szCs w:val="24"/>
          <w:highlight w:val="none"/>
        </w:rPr>
        <w:t>格谈</w:t>
      </w:r>
      <w:r>
        <w:rPr>
          <w:rFonts w:hint="eastAsia" w:ascii="宋体" w:hAnsi="宋体"/>
          <w:b/>
          <w:color w:val="auto"/>
          <w:sz w:val="24"/>
          <w:szCs w:val="24"/>
          <w:highlight w:val="none"/>
        </w:rPr>
        <w:t>判</w:t>
      </w:r>
      <w:r>
        <w:rPr>
          <w:rFonts w:ascii="宋体" w:hAnsi="宋体"/>
          <w:b/>
          <w:color w:val="auto"/>
          <w:sz w:val="24"/>
          <w:szCs w:val="24"/>
          <w:highlight w:val="none"/>
        </w:rPr>
        <w:t>规</w:t>
      </w:r>
      <w:r>
        <w:rPr>
          <w:rFonts w:hint="eastAsia" w:ascii="宋体" w:hAnsi="宋体"/>
          <w:b/>
          <w:color w:val="auto"/>
          <w:sz w:val="24"/>
          <w:szCs w:val="24"/>
          <w:highlight w:val="none"/>
        </w:rPr>
        <w:t>则</w:t>
      </w:r>
      <w:r>
        <w:rPr>
          <w:rFonts w:ascii="宋体" w:hAnsi="宋体"/>
          <w:b/>
          <w:color w:val="auto"/>
          <w:sz w:val="24"/>
          <w:szCs w:val="24"/>
          <w:highlight w:val="none"/>
        </w:rPr>
        <w:t>详见第四章</w:t>
      </w:r>
      <w:r>
        <w:rPr>
          <w:rFonts w:hint="eastAsia" w:ascii="宋体" w:hAnsi="宋体"/>
          <w:b/>
          <w:color w:val="auto"/>
          <w:sz w:val="24"/>
          <w:szCs w:val="24"/>
          <w:highlight w:val="none"/>
        </w:rPr>
        <w:t>“评审办法”</w:t>
      </w:r>
      <w:r>
        <w:rPr>
          <w:rFonts w:ascii="宋体" w:hAnsi="宋体"/>
          <w:b/>
          <w:color w:val="auto"/>
          <w:sz w:val="24"/>
          <w:szCs w:val="24"/>
          <w:highlight w:val="none"/>
        </w:rPr>
        <w:t>第</w:t>
      </w:r>
      <w:r>
        <w:rPr>
          <w:rFonts w:hint="eastAsia" w:ascii="宋体" w:hAnsi="宋体"/>
          <w:b/>
          <w:color w:val="auto"/>
          <w:sz w:val="24"/>
          <w:szCs w:val="24"/>
          <w:highlight w:val="none"/>
        </w:rPr>
        <w:t>“</w:t>
      </w:r>
      <w:r>
        <w:rPr>
          <w:rFonts w:ascii="宋体" w:hAnsi="宋体"/>
          <w:b/>
          <w:color w:val="auto"/>
          <w:sz w:val="24"/>
          <w:szCs w:val="24"/>
          <w:highlight w:val="none"/>
        </w:rPr>
        <w:t xml:space="preserve">3.5.7 </w:t>
      </w:r>
      <w:r>
        <w:rPr>
          <w:rFonts w:hint="eastAsia" w:ascii="宋体" w:hAnsi="宋体"/>
          <w:b/>
          <w:color w:val="auto"/>
          <w:sz w:val="24"/>
          <w:szCs w:val="24"/>
          <w:highlight w:val="none"/>
        </w:rPr>
        <w:t>价格谈判”</w:t>
      </w:r>
      <w:r>
        <w:rPr>
          <w:rFonts w:ascii="宋体" w:hAnsi="宋体"/>
          <w:b/>
          <w:color w:val="auto"/>
          <w:sz w:val="24"/>
          <w:szCs w:val="24"/>
          <w:highlight w:val="none"/>
        </w:rPr>
        <w:t>条款</w:t>
      </w:r>
      <w:r>
        <w:rPr>
          <w:rFonts w:hint="eastAsia" w:ascii="宋体" w:hAnsi="宋体"/>
          <w:b/>
          <w:color w:val="auto"/>
          <w:sz w:val="24"/>
          <w:szCs w:val="24"/>
          <w:highlight w:val="none"/>
        </w:rPr>
        <w:t>。</w:t>
      </w:r>
    </w:p>
    <w:p w14:paraId="0C3038DA">
      <w:pPr>
        <w:widowControl w:val="0"/>
        <w:snapToGrid w:val="0"/>
        <w:spacing w:line="360" w:lineRule="auto"/>
        <w:ind w:firstLine="480" w:firstLineChars="200"/>
        <w:jc w:val="left"/>
        <w:rPr>
          <w:color w:val="auto"/>
          <w:sz w:val="24"/>
          <w:szCs w:val="24"/>
          <w:highlight w:val="none"/>
        </w:rPr>
      </w:pPr>
    </w:p>
    <w:p w14:paraId="7C1B37BE">
      <w:pPr>
        <w:widowControl w:val="0"/>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 xml:space="preserve">1.3.3 </w:t>
      </w:r>
      <w:r>
        <w:rPr>
          <w:rFonts w:hint="eastAsia" w:ascii="宋体" w:hAnsi="宋体"/>
          <w:color w:val="auto"/>
          <w:sz w:val="24"/>
          <w:szCs w:val="24"/>
          <w:highlight w:val="none"/>
        </w:rPr>
        <w:t>如投标人的投标报价未超过预算金额（见谈判公告</w:t>
      </w:r>
      <w:r>
        <w:rPr>
          <w:rFonts w:ascii="宋体" w:hAnsi="宋体"/>
          <w:color w:val="auto"/>
          <w:sz w:val="24"/>
          <w:szCs w:val="24"/>
          <w:highlight w:val="none"/>
        </w:rPr>
        <w:t>1.</w:t>
      </w:r>
      <w:r>
        <w:rPr>
          <w:rFonts w:hint="eastAsia" w:ascii="宋体" w:hAnsi="宋体"/>
          <w:color w:val="auto"/>
          <w:sz w:val="24"/>
          <w:szCs w:val="24"/>
          <w:highlight w:val="none"/>
        </w:rPr>
        <w:t>4）的供应商不足三家的，该标段（包）做废标处理。</w:t>
      </w:r>
    </w:p>
    <w:p w14:paraId="5BBCBAAD">
      <w:pPr>
        <w:widowControl w:val="0"/>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1.3.4</w:t>
      </w:r>
      <w:r>
        <w:rPr>
          <w:rFonts w:hint="eastAsia" w:ascii="宋体" w:hAnsi="宋体"/>
          <w:color w:val="auto"/>
          <w:sz w:val="24"/>
          <w:szCs w:val="24"/>
          <w:highlight w:val="none"/>
        </w:rPr>
        <w:t>遵循第三章投标人须知</w:t>
      </w:r>
      <w:r>
        <w:rPr>
          <w:rFonts w:ascii="宋体" w:hAnsi="宋体"/>
          <w:color w:val="auto"/>
          <w:sz w:val="24"/>
          <w:szCs w:val="24"/>
          <w:highlight w:val="none"/>
        </w:rPr>
        <w:t>3.7.</w:t>
      </w:r>
      <w:r>
        <w:rPr>
          <w:rFonts w:hint="eastAsia" w:ascii="宋体" w:hAnsi="宋体"/>
          <w:color w:val="auto"/>
          <w:sz w:val="24"/>
          <w:szCs w:val="24"/>
          <w:highlight w:val="none"/>
        </w:rPr>
        <w:t>5项规定。</w:t>
      </w:r>
    </w:p>
    <w:p w14:paraId="6C378CE6">
      <w:pPr>
        <w:spacing w:line="560" w:lineRule="exact"/>
        <w:ind w:firstLine="562" w:firstLineChars="200"/>
        <w:rPr>
          <w:rFonts w:ascii="黑体" w:hAnsi="黑体" w:eastAsia="黑体"/>
          <w:b/>
          <w:color w:val="auto"/>
          <w:sz w:val="28"/>
          <w:highlight w:val="none"/>
        </w:rPr>
      </w:pPr>
    </w:p>
    <w:p w14:paraId="4D7CC847">
      <w:pPr>
        <w:spacing w:line="560" w:lineRule="exact"/>
        <w:ind w:firstLine="562" w:firstLineChars="200"/>
        <w:outlineLvl w:val="1"/>
        <w:rPr>
          <w:rFonts w:ascii="黑体" w:hAnsi="黑体" w:eastAsia="黑体"/>
          <w:b/>
          <w:color w:val="auto"/>
          <w:sz w:val="28"/>
          <w:highlight w:val="none"/>
        </w:rPr>
      </w:pPr>
      <w:bookmarkStart w:id="15" w:name="_Toc206599118"/>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标段（包）内容（范围）及服务要求</w:t>
      </w:r>
      <w:bookmarkEnd w:id="15"/>
    </w:p>
    <w:p w14:paraId="73C59FF1">
      <w:pPr>
        <w:spacing w:line="560" w:lineRule="exact"/>
        <w:ind w:firstLine="482" w:firstLineChars="200"/>
        <w:rPr>
          <w:color w:val="auto"/>
          <w:sz w:val="24"/>
          <w:szCs w:val="24"/>
          <w:highlight w:val="none"/>
        </w:rPr>
      </w:pPr>
      <w:r>
        <w:rPr>
          <w:rFonts w:ascii="黑体" w:hAnsi="黑体" w:eastAsia="黑体"/>
          <w:b/>
          <w:color w:val="auto"/>
          <w:sz w:val="24"/>
          <w:szCs w:val="24"/>
          <w:highlight w:val="none"/>
        </w:rPr>
        <w:t xml:space="preserve">2.1 </w:t>
      </w:r>
      <w:r>
        <w:rPr>
          <w:rFonts w:hint="eastAsia" w:ascii="黑体" w:hAnsi="黑体" w:eastAsia="黑体"/>
          <w:b/>
          <w:color w:val="auto"/>
          <w:sz w:val="24"/>
          <w:szCs w:val="24"/>
          <w:highlight w:val="none"/>
        </w:rPr>
        <w:t>总体服务（方案）要求及标段（包）内容（范围）：</w:t>
      </w:r>
      <w:r>
        <w:rPr>
          <w:rFonts w:hint="eastAsia"/>
          <w:color w:val="auto"/>
          <w:sz w:val="24"/>
          <w:szCs w:val="24"/>
          <w:highlight w:val="none"/>
        </w:rPr>
        <w:t>详见下述</w:t>
      </w:r>
      <w:r>
        <w:rPr>
          <w:color w:val="auto"/>
          <w:sz w:val="24"/>
          <w:szCs w:val="24"/>
          <w:highlight w:val="none"/>
        </w:rPr>
        <w:t>2.</w:t>
      </w:r>
      <w:r>
        <w:rPr>
          <w:rFonts w:hint="eastAsia"/>
          <w:color w:val="auto"/>
          <w:sz w:val="24"/>
          <w:szCs w:val="24"/>
          <w:highlight w:val="none"/>
        </w:rPr>
        <w:t>4款</w:t>
      </w:r>
    </w:p>
    <w:p w14:paraId="1DD93014">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2项目落实的政府采购政策（法规标准条款）</w:t>
      </w:r>
    </w:p>
    <w:p w14:paraId="4D261B43">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14:paraId="2A02016B">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14:paraId="523D57DD">
      <w:pPr>
        <w:adjustRightInd w:val="0"/>
        <w:snapToGrid w:val="0"/>
        <w:spacing w:before="156"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14:paraId="7F19991A">
      <w:pPr>
        <w:adjustRightInd w:val="0"/>
        <w:snapToGrid w:val="0"/>
        <w:spacing w:before="156" w:beforeLines="50" w:line="30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14:paraId="1434B421">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14:paraId="7B190CAB">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14:paraId="4D9C79D3">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14:paraId="25B813C4">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促进中小企业发展扶持政策：见第四章“评审办法”第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220DD245">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6144691A">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 xml:space="preserve"> </w:t>
      </w:r>
      <w:r>
        <w:rPr>
          <w:rFonts w:hint="eastAsia" w:ascii="宋体" w:hAnsi="宋体"/>
          <w:color w:val="auto"/>
          <w:sz w:val="24"/>
          <w:szCs w:val="24"/>
          <w:highlight w:val="none"/>
        </w:rPr>
        <w:t>所供产品有商品包装的应当使用绿色包装。所供产品有其他环保政策要求的，应符合相关环保法律政策要求。</w:t>
      </w:r>
    </w:p>
    <w:p w14:paraId="75FD29C5">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2.2.10</w:t>
      </w:r>
      <w:r>
        <w:rPr>
          <w:rFonts w:ascii="宋体" w:hAnsi="宋体"/>
          <w:color w:val="auto"/>
          <w:sz w:val="24"/>
          <w:szCs w:val="24"/>
          <w:highlight w:val="none"/>
        </w:rPr>
        <w:t xml:space="preserve"> </w:t>
      </w:r>
      <w:r>
        <w:rPr>
          <w:rFonts w:hint="eastAsia" w:ascii="宋体" w:hAnsi="宋体"/>
          <w:color w:val="auto"/>
          <w:sz w:val="24"/>
          <w:szCs w:val="24"/>
          <w:highlight w:val="none"/>
        </w:rPr>
        <w:t>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14:paraId="7DB33585">
      <w:pPr>
        <w:adjustRightInd w:val="0"/>
        <w:snapToGrid w:val="0"/>
        <w:spacing w:line="30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采购标的需执行的国家相关标准、行业标准、地方标准或者其他标准、规范；</w:t>
      </w:r>
    </w:p>
    <w:p w14:paraId="774BFB11">
      <w:pPr>
        <w:widowControl w:val="0"/>
        <w:adjustRightInd w:val="0"/>
        <w:snapToGrid w:val="0"/>
        <w:spacing w:before="156" w:beforeLines="50" w:line="300" w:lineRule="auto"/>
        <w:ind w:left="22" w:firstLine="555"/>
        <w:rPr>
          <w:color w:val="auto"/>
          <w:sz w:val="24"/>
          <w:szCs w:val="24"/>
          <w:highlight w:val="none"/>
        </w:rPr>
      </w:pPr>
      <w:r>
        <w:rPr>
          <w:rFonts w:hint="eastAsia"/>
          <w:color w:val="auto"/>
          <w:sz w:val="24"/>
          <w:szCs w:val="24"/>
          <w:highlight w:val="none"/>
        </w:rPr>
        <w:t>投标人所投服务（及所涉货物材料设施）应符合国家质量标准、部颁标准及行业规范的要求，符合国家各项强制性规范及安全标准，投标服务（及所涉货物材料设施）不应与第三方存在知识产权权属问题；投标人应本着服务客户、为客户着想的宗旨，来完善服务（及所涉货物材料设施）及技术要求未尽事宜，不得以《谈判文件》未列明事项为由，来降低响应服务（及所涉货物材料设施）的质量。</w:t>
      </w:r>
    </w:p>
    <w:p w14:paraId="207B2FBF">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4具体服务要求及标段（包）内容（范围）</w:t>
      </w:r>
    </w:p>
    <w:tbl>
      <w:tblPr>
        <w:tblStyle w:val="15"/>
        <w:tblW w:w="4953" w:type="pct"/>
        <w:tblInd w:w="0" w:type="dxa"/>
        <w:tblLayout w:type="fixed"/>
        <w:tblCellMar>
          <w:top w:w="0" w:type="dxa"/>
          <w:left w:w="108" w:type="dxa"/>
          <w:bottom w:w="0" w:type="dxa"/>
          <w:right w:w="108" w:type="dxa"/>
        </w:tblCellMar>
      </w:tblPr>
      <w:tblGrid>
        <w:gridCol w:w="569"/>
        <w:gridCol w:w="2843"/>
        <w:gridCol w:w="1415"/>
        <w:gridCol w:w="778"/>
        <w:gridCol w:w="846"/>
        <w:gridCol w:w="3056"/>
      </w:tblGrid>
      <w:tr w14:paraId="2CB04837">
        <w:tblPrEx>
          <w:tblCellMar>
            <w:top w:w="0" w:type="dxa"/>
            <w:left w:w="108" w:type="dxa"/>
            <w:bottom w:w="0" w:type="dxa"/>
            <w:right w:w="108" w:type="dxa"/>
          </w:tblCellMar>
        </w:tblPrEx>
        <w:trPr>
          <w:gridAfter w:val="2"/>
          <w:wAfter w:w="2051" w:type="pct"/>
          <w:trHeight w:val="715" w:hRule="atLeast"/>
        </w:trPr>
        <w:tc>
          <w:tcPr>
            <w:tcW w:w="2948" w:type="pct"/>
            <w:gridSpan w:val="4"/>
            <w:tcBorders>
              <w:top w:val="nil"/>
              <w:left w:val="nil"/>
              <w:bottom w:val="nil"/>
              <w:right w:val="nil"/>
            </w:tcBorders>
            <w:shd w:val="clear" w:color="auto" w:fill="auto"/>
            <w:noWrap/>
            <w:vAlign w:val="center"/>
          </w:tcPr>
          <w:p w14:paraId="06F757C6">
            <w:pPr>
              <w:spacing w:line="560" w:lineRule="exact"/>
              <w:rPr>
                <w:rFonts w:ascii="黑体" w:hAnsi="黑体" w:eastAsia="黑体"/>
                <w:b/>
                <w:color w:val="auto"/>
                <w:sz w:val="24"/>
                <w:szCs w:val="24"/>
                <w:highlight w:val="none"/>
              </w:rPr>
            </w:pPr>
            <w:r>
              <w:rPr>
                <w:rFonts w:hint="eastAsia" w:ascii="黑体" w:hAnsi="黑体" w:eastAsia="黑体"/>
                <w:b/>
                <w:color w:val="auto"/>
                <w:sz w:val="24"/>
                <w:szCs w:val="24"/>
                <w:highlight w:val="none"/>
              </w:rPr>
              <w:t>一、车辆</w:t>
            </w:r>
            <w:r>
              <w:rPr>
                <w:rFonts w:hint="eastAsia" w:ascii="宋体" w:eastAsia="黑体" w:cs="宋体"/>
                <w:b/>
                <w:color w:val="auto"/>
                <w:sz w:val="24"/>
                <w:szCs w:val="24"/>
                <w:highlight w:val="none"/>
              </w:rPr>
              <w:t>维修、保养</w:t>
            </w:r>
            <w:r>
              <w:rPr>
                <w:rFonts w:hint="eastAsia" w:ascii="宋体" w:cs="宋体"/>
                <w:b/>
                <w:color w:val="auto"/>
                <w:sz w:val="24"/>
                <w:szCs w:val="24"/>
                <w:highlight w:val="none"/>
              </w:rPr>
              <w:t>范围及车况</w:t>
            </w:r>
          </w:p>
        </w:tc>
      </w:tr>
      <w:tr w14:paraId="7FB7C3DB">
        <w:tblPrEx>
          <w:tblCellMar>
            <w:top w:w="0" w:type="dxa"/>
            <w:left w:w="108" w:type="dxa"/>
            <w:bottom w:w="0" w:type="dxa"/>
            <w:right w:w="108" w:type="dxa"/>
          </w:tblCellMar>
        </w:tblPrEx>
        <w:trPr>
          <w:trHeight w:val="836"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FF26">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序号</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1EE7">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车辆类型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43D0">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车 号</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5230">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出厂日期</w:t>
            </w:r>
          </w:p>
        </w:tc>
        <w:tc>
          <w:tcPr>
            <w:tcW w:w="1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19C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易损部件及保养</w:t>
            </w:r>
          </w:p>
        </w:tc>
      </w:tr>
      <w:tr w14:paraId="50621F84">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5C62">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35BD">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0446">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豫ED6103</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9E7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2018年10月</w:t>
            </w:r>
          </w:p>
        </w:tc>
        <w:tc>
          <w:tcPr>
            <w:tcW w:w="1605" w:type="pct"/>
            <w:vMerge w:val="restart"/>
            <w:tcBorders>
              <w:left w:val="single" w:color="000000" w:sz="4" w:space="0"/>
              <w:right w:val="single" w:color="000000" w:sz="4" w:space="0"/>
            </w:tcBorders>
            <w:shd w:val="clear" w:color="auto" w:fill="auto"/>
          </w:tcPr>
          <w:p w14:paraId="6DBAF8E3">
            <w:pPr>
              <w:rPr>
                <w:rFonts w:ascii="宋体" w:hAnsi="宋体" w:cs="宋体"/>
                <w:color w:val="auto"/>
                <w:sz w:val="24"/>
                <w:szCs w:val="24"/>
                <w:highlight w:val="none"/>
                <w:lang w:bidi="ar"/>
              </w:rPr>
            </w:pPr>
          </w:p>
          <w:p w14:paraId="3D5F10FF">
            <w:pPr>
              <w:rPr>
                <w:rFonts w:ascii="宋体" w:hAnsi="宋体" w:cs="宋体"/>
                <w:color w:val="auto"/>
                <w:sz w:val="24"/>
                <w:szCs w:val="24"/>
                <w:highlight w:val="none"/>
                <w:lang w:bidi="ar"/>
              </w:rPr>
            </w:pPr>
          </w:p>
          <w:p w14:paraId="646CD659">
            <w:pPr>
              <w:rPr>
                <w:rFonts w:ascii="宋体" w:hAnsi="宋体" w:cs="宋体"/>
                <w:color w:val="auto"/>
                <w:sz w:val="24"/>
                <w:szCs w:val="24"/>
                <w:highlight w:val="none"/>
                <w:lang w:bidi="ar"/>
              </w:rPr>
            </w:pPr>
          </w:p>
          <w:p w14:paraId="69E011F0">
            <w:pPr>
              <w:rPr>
                <w:rFonts w:ascii="宋体" w:hAnsi="宋体" w:cs="宋体"/>
                <w:color w:val="auto"/>
                <w:sz w:val="28"/>
                <w:szCs w:val="28"/>
                <w:highlight w:val="none"/>
              </w:rPr>
            </w:pPr>
            <w:r>
              <w:rPr>
                <w:rFonts w:hint="eastAsia" w:ascii="宋体" w:hAnsi="宋体" w:cs="宋体"/>
                <w:color w:val="auto"/>
                <w:sz w:val="24"/>
                <w:szCs w:val="24"/>
                <w:highlight w:val="none"/>
                <w:lang w:bidi="ar"/>
              </w:rPr>
              <w:t>灯光系统，离合器，起动机，空调系统，散热系统，传动部分，尾气处理系统，变速箱维修，扬程泵，取力器，电控系统，气动系统，风机。气动离合器，液压系统，阀门，三联柱塞泵，隔膜泵，吸盘校正，扫盘，气缸，摆线马达，滤杯，滤芯，高压喷水管路，液压管等维修项目。  更换主机，副机机油，机油滤芯，空气滤芯， 尿素滤芯，尿素空气滤芯，柴油滤芯，高压水泵油防冻液等保养项目</w:t>
            </w:r>
          </w:p>
        </w:tc>
      </w:tr>
      <w:tr w14:paraId="18FE32DE">
        <w:tblPrEx>
          <w:tblCellMar>
            <w:top w:w="0" w:type="dxa"/>
            <w:left w:w="108" w:type="dxa"/>
            <w:bottom w:w="0" w:type="dxa"/>
            <w:right w:w="108" w:type="dxa"/>
          </w:tblCellMar>
        </w:tblPrEx>
        <w:trPr>
          <w:trHeight w:val="523"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05AF">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7366">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D953">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豫EE3899</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939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2017年6月</w:t>
            </w:r>
          </w:p>
        </w:tc>
        <w:tc>
          <w:tcPr>
            <w:tcW w:w="1605" w:type="pct"/>
            <w:vMerge w:val="continue"/>
            <w:tcBorders>
              <w:left w:val="single" w:color="000000" w:sz="4" w:space="0"/>
              <w:right w:val="single" w:color="000000" w:sz="4" w:space="0"/>
            </w:tcBorders>
            <w:shd w:val="clear" w:color="auto" w:fill="auto"/>
          </w:tcPr>
          <w:p w14:paraId="3225117F">
            <w:pPr>
              <w:rPr>
                <w:rFonts w:ascii="宋体" w:hAnsi="宋体" w:cs="宋体"/>
                <w:color w:val="auto"/>
                <w:sz w:val="28"/>
                <w:szCs w:val="28"/>
                <w:highlight w:val="none"/>
              </w:rPr>
            </w:pPr>
          </w:p>
        </w:tc>
      </w:tr>
      <w:tr w14:paraId="5B3EE01E">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1F42">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3</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32F0">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7DD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豫EB8827</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19B0">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2018年9月</w:t>
            </w:r>
          </w:p>
        </w:tc>
        <w:tc>
          <w:tcPr>
            <w:tcW w:w="1605" w:type="pct"/>
            <w:vMerge w:val="continue"/>
            <w:tcBorders>
              <w:left w:val="single" w:color="000000" w:sz="4" w:space="0"/>
              <w:right w:val="single" w:color="000000" w:sz="4" w:space="0"/>
            </w:tcBorders>
            <w:shd w:val="clear" w:color="auto" w:fill="auto"/>
          </w:tcPr>
          <w:p w14:paraId="39EAEDB0">
            <w:pPr>
              <w:rPr>
                <w:rFonts w:ascii="宋体" w:hAnsi="宋体" w:cs="宋体"/>
                <w:color w:val="auto"/>
                <w:sz w:val="28"/>
                <w:szCs w:val="28"/>
                <w:highlight w:val="none"/>
              </w:rPr>
            </w:pPr>
          </w:p>
        </w:tc>
      </w:tr>
      <w:tr w14:paraId="7BB9DFE1">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90FA">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4</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F29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52E7">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豫EQ1189</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1D8F">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2018年3月</w:t>
            </w:r>
          </w:p>
        </w:tc>
        <w:tc>
          <w:tcPr>
            <w:tcW w:w="1605" w:type="pct"/>
            <w:vMerge w:val="continue"/>
            <w:tcBorders>
              <w:left w:val="single" w:color="000000" w:sz="4" w:space="0"/>
              <w:right w:val="single" w:color="000000" w:sz="4" w:space="0"/>
            </w:tcBorders>
            <w:shd w:val="clear" w:color="auto" w:fill="auto"/>
          </w:tcPr>
          <w:p w14:paraId="70513CC7">
            <w:pPr>
              <w:rPr>
                <w:rFonts w:ascii="宋体" w:hAnsi="宋体" w:cs="宋体"/>
                <w:color w:val="auto"/>
                <w:sz w:val="28"/>
                <w:szCs w:val="28"/>
                <w:highlight w:val="none"/>
              </w:rPr>
            </w:pPr>
          </w:p>
        </w:tc>
      </w:tr>
      <w:tr w14:paraId="6FC91B69">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5502">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5</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9DD0">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99E2">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豫EF1755</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5D03">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2016年10月</w:t>
            </w:r>
          </w:p>
        </w:tc>
        <w:tc>
          <w:tcPr>
            <w:tcW w:w="1605" w:type="pct"/>
            <w:vMerge w:val="continue"/>
            <w:tcBorders>
              <w:left w:val="single" w:color="000000" w:sz="4" w:space="0"/>
              <w:right w:val="single" w:color="000000" w:sz="4" w:space="0"/>
            </w:tcBorders>
            <w:shd w:val="clear" w:color="auto" w:fill="auto"/>
          </w:tcPr>
          <w:p w14:paraId="2346A346">
            <w:pPr>
              <w:rPr>
                <w:rFonts w:ascii="宋体" w:hAnsi="宋体" w:cs="宋体"/>
                <w:color w:val="auto"/>
                <w:sz w:val="28"/>
                <w:szCs w:val="28"/>
                <w:highlight w:val="none"/>
              </w:rPr>
            </w:pPr>
          </w:p>
        </w:tc>
      </w:tr>
      <w:tr w14:paraId="033C710D">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2974">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6</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8A8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7466">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豫ER3063</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C924">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2018年11月</w:t>
            </w:r>
          </w:p>
        </w:tc>
        <w:tc>
          <w:tcPr>
            <w:tcW w:w="1605" w:type="pct"/>
            <w:vMerge w:val="continue"/>
            <w:tcBorders>
              <w:left w:val="single" w:color="000000" w:sz="4" w:space="0"/>
              <w:right w:val="single" w:color="000000" w:sz="4" w:space="0"/>
            </w:tcBorders>
            <w:shd w:val="clear" w:color="auto" w:fill="auto"/>
          </w:tcPr>
          <w:p w14:paraId="160A1EE6">
            <w:pPr>
              <w:rPr>
                <w:rFonts w:ascii="宋体" w:hAnsi="宋体" w:cs="宋体"/>
                <w:color w:val="auto"/>
                <w:sz w:val="28"/>
                <w:szCs w:val="28"/>
                <w:highlight w:val="none"/>
              </w:rPr>
            </w:pPr>
          </w:p>
        </w:tc>
      </w:tr>
      <w:tr w14:paraId="5AE4E281">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A4B6">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7</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01DA">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3A5A">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豫EN3650</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C6DA">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2017年8月</w:t>
            </w:r>
          </w:p>
        </w:tc>
        <w:tc>
          <w:tcPr>
            <w:tcW w:w="1605" w:type="pct"/>
            <w:vMerge w:val="continue"/>
            <w:tcBorders>
              <w:left w:val="single" w:color="000000" w:sz="4" w:space="0"/>
              <w:right w:val="single" w:color="000000" w:sz="4" w:space="0"/>
            </w:tcBorders>
            <w:shd w:val="clear" w:color="auto" w:fill="auto"/>
          </w:tcPr>
          <w:p w14:paraId="7CD8F26F">
            <w:pPr>
              <w:rPr>
                <w:rFonts w:ascii="宋体" w:hAnsi="宋体" w:cs="宋体"/>
                <w:color w:val="auto"/>
                <w:sz w:val="28"/>
                <w:szCs w:val="28"/>
                <w:highlight w:val="none"/>
              </w:rPr>
            </w:pPr>
          </w:p>
        </w:tc>
      </w:tr>
      <w:tr w14:paraId="1FA58150">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76E4">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8</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D014">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777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豫EE6223</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5682">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2017年9月</w:t>
            </w:r>
          </w:p>
        </w:tc>
        <w:tc>
          <w:tcPr>
            <w:tcW w:w="1605" w:type="pct"/>
            <w:vMerge w:val="continue"/>
            <w:tcBorders>
              <w:left w:val="single" w:color="000000" w:sz="4" w:space="0"/>
              <w:right w:val="single" w:color="000000" w:sz="4" w:space="0"/>
            </w:tcBorders>
            <w:shd w:val="clear" w:color="auto" w:fill="auto"/>
          </w:tcPr>
          <w:p w14:paraId="3C9B24B5">
            <w:pPr>
              <w:rPr>
                <w:rFonts w:ascii="宋体" w:hAnsi="宋体" w:cs="宋体"/>
                <w:color w:val="auto"/>
                <w:sz w:val="28"/>
                <w:szCs w:val="28"/>
                <w:highlight w:val="none"/>
              </w:rPr>
            </w:pPr>
          </w:p>
        </w:tc>
      </w:tr>
      <w:tr w14:paraId="2F8EEAED">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E990">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597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91F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豫ED3612</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DDAE">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2018年12月</w:t>
            </w:r>
          </w:p>
        </w:tc>
        <w:tc>
          <w:tcPr>
            <w:tcW w:w="1605" w:type="pct"/>
            <w:vMerge w:val="continue"/>
            <w:tcBorders>
              <w:left w:val="single" w:color="000000" w:sz="4" w:space="0"/>
              <w:right w:val="single" w:color="000000" w:sz="4" w:space="0"/>
            </w:tcBorders>
            <w:shd w:val="clear" w:color="auto" w:fill="auto"/>
          </w:tcPr>
          <w:p w14:paraId="3801E00B">
            <w:pPr>
              <w:rPr>
                <w:rFonts w:ascii="宋体" w:hAnsi="宋体" w:cs="宋体"/>
                <w:color w:val="auto"/>
                <w:sz w:val="28"/>
                <w:szCs w:val="28"/>
                <w:highlight w:val="none"/>
              </w:rPr>
            </w:pPr>
          </w:p>
        </w:tc>
      </w:tr>
      <w:tr w14:paraId="0DDDFD75">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7F5A">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10</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84E2">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8470">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豫EA7786</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8D66">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2018年3月</w:t>
            </w:r>
          </w:p>
        </w:tc>
        <w:tc>
          <w:tcPr>
            <w:tcW w:w="1605" w:type="pct"/>
            <w:vMerge w:val="continue"/>
            <w:tcBorders>
              <w:left w:val="single" w:color="000000" w:sz="4" w:space="0"/>
              <w:right w:val="single" w:color="000000" w:sz="4" w:space="0"/>
            </w:tcBorders>
            <w:shd w:val="clear" w:color="auto" w:fill="auto"/>
          </w:tcPr>
          <w:p w14:paraId="6C70C296">
            <w:pPr>
              <w:rPr>
                <w:rFonts w:ascii="宋体" w:hAnsi="宋体" w:cs="宋体"/>
                <w:color w:val="auto"/>
                <w:sz w:val="28"/>
                <w:szCs w:val="28"/>
                <w:highlight w:val="none"/>
              </w:rPr>
            </w:pPr>
          </w:p>
        </w:tc>
      </w:tr>
      <w:tr w14:paraId="125003BF">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5CBE">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11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C771">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E69F">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豫EY5371</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1AD4">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2017年9月</w:t>
            </w:r>
          </w:p>
        </w:tc>
        <w:tc>
          <w:tcPr>
            <w:tcW w:w="1605" w:type="pct"/>
            <w:vMerge w:val="continue"/>
            <w:tcBorders>
              <w:left w:val="single" w:color="000000" w:sz="4" w:space="0"/>
              <w:right w:val="single" w:color="000000" w:sz="4" w:space="0"/>
            </w:tcBorders>
            <w:shd w:val="clear" w:color="auto" w:fill="auto"/>
          </w:tcPr>
          <w:p w14:paraId="37652FA1">
            <w:pPr>
              <w:rPr>
                <w:rFonts w:ascii="宋体" w:hAnsi="宋体" w:cs="宋体"/>
                <w:color w:val="auto"/>
                <w:sz w:val="28"/>
                <w:szCs w:val="28"/>
                <w:highlight w:val="none"/>
              </w:rPr>
            </w:pPr>
          </w:p>
        </w:tc>
      </w:tr>
      <w:tr w14:paraId="080669AC">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4B8F">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12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5DB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6644">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豫EF3732</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F16E">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2018年10月</w:t>
            </w:r>
          </w:p>
        </w:tc>
        <w:tc>
          <w:tcPr>
            <w:tcW w:w="1605" w:type="pct"/>
            <w:vMerge w:val="continue"/>
            <w:tcBorders>
              <w:left w:val="single" w:color="000000" w:sz="4" w:space="0"/>
              <w:right w:val="single" w:color="000000" w:sz="4" w:space="0"/>
            </w:tcBorders>
            <w:shd w:val="clear" w:color="auto" w:fill="auto"/>
          </w:tcPr>
          <w:p w14:paraId="5D18DAFE">
            <w:pPr>
              <w:rPr>
                <w:rFonts w:ascii="宋体" w:hAnsi="宋体" w:cs="宋体"/>
                <w:color w:val="auto"/>
                <w:sz w:val="28"/>
                <w:szCs w:val="28"/>
                <w:highlight w:val="none"/>
              </w:rPr>
            </w:pPr>
          </w:p>
        </w:tc>
      </w:tr>
      <w:tr w14:paraId="68741CB7">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A62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13</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428E">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428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豫ET7353</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141D">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2018年7月</w:t>
            </w:r>
          </w:p>
        </w:tc>
        <w:tc>
          <w:tcPr>
            <w:tcW w:w="1605" w:type="pct"/>
            <w:vMerge w:val="continue"/>
            <w:tcBorders>
              <w:left w:val="single" w:color="000000" w:sz="4" w:space="0"/>
              <w:right w:val="single" w:color="000000" w:sz="4" w:space="0"/>
            </w:tcBorders>
            <w:shd w:val="clear" w:color="auto" w:fill="auto"/>
          </w:tcPr>
          <w:p w14:paraId="2CE2D890">
            <w:pPr>
              <w:rPr>
                <w:rFonts w:ascii="宋体" w:hAnsi="宋体" w:cs="宋体"/>
                <w:color w:val="auto"/>
                <w:sz w:val="28"/>
                <w:szCs w:val="28"/>
                <w:highlight w:val="none"/>
              </w:rPr>
            </w:pPr>
          </w:p>
        </w:tc>
      </w:tr>
      <w:tr w14:paraId="4DB76A98">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7751">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14</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08C6">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7147">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豫EZ8168</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02F2">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2017年10月</w:t>
            </w:r>
          </w:p>
        </w:tc>
        <w:tc>
          <w:tcPr>
            <w:tcW w:w="1605" w:type="pct"/>
            <w:vMerge w:val="continue"/>
            <w:tcBorders>
              <w:left w:val="single" w:color="000000" w:sz="4" w:space="0"/>
              <w:right w:val="single" w:color="000000" w:sz="4" w:space="0"/>
            </w:tcBorders>
            <w:shd w:val="clear" w:color="auto" w:fill="auto"/>
          </w:tcPr>
          <w:p w14:paraId="6EA8A5BB">
            <w:pPr>
              <w:rPr>
                <w:rFonts w:ascii="宋体" w:hAnsi="宋体" w:cs="宋体"/>
                <w:color w:val="auto"/>
                <w:sz w:val="28"/>
                <w:szCs w:val="28"/>
                <w:highlight w:val="none"/>
              </w:rPr>
            </w:pPr>
          </w:p>
        </w:tc>
      </w:tr>
      <w:tr w14:paraId="416EE3CA">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6E29">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15</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F9E4">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0FA9">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豫EK9716</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9AAD">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2018年11月</w:t>
            </w:r>
          </w:p>
        </w:tc>
        <w:tc>
          <w:tcPr>
            <w:tcW w:w="1605" w:type="pct"/>
            <w:vMerge w:val="continue"/>
            <w:tcBorders>
              <w:left w:val="single" w:color="000000" w:sz="4" w:space="0"/>
              <w:right w:val="single" w:color="000000" w:sz="4" w:space="0"/>
            </w:tcBorders>
            <w:shd w:val="clear" w:color="auto" w:fill="auto"/>
          </w:tcPr>
          <w:p w14:paraId="3C451620">
            <w:pPr>
              <w:rPr>
                <w:rFonts w:ascii="宋体" w:hAnsi="宋体" w:cs="宋体"/>
                <w:color w:val="auto"/>
                <w:sz w:val="28"/>
                <w:szCs w:val="28"/>
                <w:highlight w:val="none"/>
              </w:rPr>
            </w:pPr>
          </w:p>
        </w:tc>
      </w:tr>
      <w:tr w14:paraId="37A3A13B">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A75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16</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447B">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F6D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豫EU3690</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DCDF">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2018年11月</w:t>
            </w:r>
          </w:p>
        </w:tc>
        <w:tc>
          <w:tcPr>
            <w:tcW w:w="1605" w:type="pct"/>
            <w:vMerge w:val="continue"/>
            <w:tcBorders>
              <w:left w:val="single" w:color="000000" w:sz="4" w:space="0"/>
              <w:right w:val="single" w:color="000000" w:sz="4" w:space="0"/>
            </w:tcBorders>
            <w:shd w:val="clear" w:color="auto" w:fill="auto"/>
          </w:tcPr>
          <w:p w14:paraId="517AFF80">
            <w:pPr>
              <w:rPr>
                <w:rFonts w:ascii="宋体" w:hAnsi="宋体" w:cs="宋体"/>
                <w:color w:val="auto"/>
                <w:sz w:val="28"/>
                <w:szCs w:val="28"/>
                <w:highlight w:val="none"/>
              </w:rPr>
            </w:pPr>
          </w:p>
        </w:tc>
      </w:tr>
      <w:tr w14:paraId="45EA0EB2">
        <w:tblPrEx>
          <w:tblCellMar>
            <w:top w:w="0" w:type="dxa"/>
            <w:left w:w="108" w:type="dxa"/>
            <w:bottom w:w="0" w:type="dxa"/>
            <w:right w:w="108" w:type="dxa"/>
          </w:tblCellMar>
        </w:tblPrEx>
        <w:trPr>
          <w:trHeight w:val="484"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2B7C">
            <w:pPr>
              <w:spacing w:after="102" w:afterLines="33"/>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17</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50B2">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大型福龙马牌洒水车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892D">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豫EE6235</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DB9A">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2018年1月</w:t>
            </w:r>
          </w:p>
        </w:tc>
        <w:tc>
          <w:tcPr>
            <w:tcW w:w="1605" w:type="pct"/>
            <w:vMerge w:val="continue"/>
            <w:tcBorders>
              <w:left w:val="single" w:color="000000" w:sz="4" w:space="0"/>
              <w:right w:val="single" w:color="000000" w:sz="4" w:space="0"/>
            </w:tcBorders>
            <w:shd w:val="clear" w:color="auto" w:fill="auto"/>
          </w:tcPr>
          <w:p w14:paraId="237B7EE9">
            <w:pPr>
              <w:spacing w:after="280"/>
              <w:textAlignment w:val="top"/>
              <w:rPr>
                <w:rFonts w:ascii="宋体" w:hAnsi="宋体" w:cs="宋体"/>
                <w:color w:val="auto"/>
                <w:sz w:val="28"/>
                <w:szCs w:val="28"/>
                <w:highlight w:val="none"/>
              </w:rPr>
            </w:pPr>
          </w:p>
        </w:tc>
      </w:tr>
      <w:tr w14:paraId="1A39707D">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D6FE">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18</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83CB">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大型福龙马牌洒水车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406C">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豫EB7936</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6847">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2018年11月</w:t>
            </w:r>
          </w:p>
        </w:tc>
        <w:tc>
          <w:tcPr>
            <w:tcW w:w="1605" w:type="pct"/>
            <w:vMerge w:val="continue"/>
            <w:tcBorders>
              <w:left w:val="single" w:color="000000" w:sz="4" w:space="0"/>
              <w:right w:val="single" w:color="000000" w:sz="4" w:space="0"/>
            </w:tcBorders>
            <w:shd w:val="clear" w:color="auto" w:fill="auto"/>
          </w:tcPr>
          <w:p w14:paraId="637CCE28">
            <w:pPr>
              <w:spacing w:after="280"/>
              <w:textAlignment w:val="top"/>
              <w:rPr>
                <w:rFonts w:ascii="宋体" w:hAnsi="宋体" w:cs="宋体"/>
                <w:color w:val="auto"/>
                <w:sz w:val="28"/>
                <w:szCs w:val="28"/>
                <w:highlight w:val="none"/>
              </w:rPr>
            </w:pPr>
          </w:p>
        </w:tc>
      </w:tr>
      <w:tr w14:paraId="30FF97CE">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F865">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19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181D">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大型福龙马牌洒水车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029B">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豫EG7790</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A27B">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2019年11月</w:t>
            </w:r>
          </w:p>
        </w:tc>
        <w:tc>
          <w:tcPr>
            <w:tcW w:w="1605" w:type="pct"/>
            <w:vMerge w:val="continue"/>
            <w:tcBorders>
              <w:left w:val="single" w:color="000000" w:sz="4" w:space="0"/>
              <w:right w:val="single" w:color="000000" w:sz="4" w:space="0"/>
            </w:tcBorders>
            <w:shd w:val="clear" w:color="auto" w:fill="auto"/>
          </w:tcPr>
          <w:p w14:paraId="3900ACA8">
            <w:pPr>
              <w:spacing w:after="280"/>
              <w:textAlignment w:val="top"/>
              <w:rPr>
                <w:rFonts w:ascii="宋体" w:hAnsi="宋体" w:cs="宋体"/>
                <w:color w:val="auto"/>
                <w:sz w:val="28"/>
                <w:szCs w:val="28"/>
                <w:highlight w:val="none"/>
              </w:rPr>
            </w:pPr>
          </w:p>
        </w:tc>
      </w:tr>
      <w:tr w14:paraId="2CC5DD52">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1D5F">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64CF">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大型福龙马牌洒水车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7E45">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豫EL8968</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CD2B">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2019年11月</w:t>
            </w:r>
          </w:p>
        </w:tc>
        <w:tc>
          <w:tcPr>
            <w:tcW w:w="1605" w:type="pct"/>
            <w:vMerge w:val="continue"/>
            <w:tcBorders>
              <w:left w:val="single" w:color="000000" w:sz="4" w:space="0"/>
              <w:right w:val="single" w:color="000000" w:sz="4" w:space="0"/>
            </w:tcBorders>
            <w:shd w:val="clear" w:color="auto" w:fill="auto"/>
          </w:tcPr>
          <w:p w14:paraId="01F506C0">
            <w:pPr>
              <w:spacing w:after="280"/>
              <w:textAlignment w:val="top"/>
              <w:rPr>
                <w:rFonts w:ascii="宋体" w:hAnsi="宋体" w:cs="宋体"/>
                <w:color w:val="auto"/>
                <w:sz w:val="28"/>
                <w:szCs w:val="28"/>
                <w:highlight w:val="none"/>
              </w:rPr>
            </w:pPr>
          </w:p>
        </w:tc>
      </w:tr>
      <w:tr w14:paraId="525342EB">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5E2A">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F7E2">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大型福龙马牌洒水车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7C14">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豫EC8966</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AC5C">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2019年11月</w:t>
            </w:r>
          </w:p>
        </w:tc>
        <w:tc>
          <w:tcPr>
            <w:tcW w:w="1605" w:type="pct"/>
            <w:vMerge w:val="continue"/>
            <w:tcBorders>
              <w:left w:val="single" w:color="000000" w:sz="4" w:space="0"/>
              <w:right w:val="single" w:color="000000" w:sz="4" w:space="0"/>
            </w:tcBorders>
            <w:shd w:val="clear" w:color="auto" w:fill="auto"/>
          </w:tcPr>
          <w:p w14:paraId="73F5F244">
            <w:pPr>
              <w:spacing w:after="280"/>
              <w:textAlignment w:val="top"/>
              <w:rPr>
                <w:rFonts w:ascii="宋体" w:hAnsi="宋体" w:cs="宋体"/>
                <w:color w:val="auto"/>
                <w:sz w:val="28"/>
                <w:szCs w:val="28"/>
                <w:highlight w:val="none"/>
              </w:rPr>
            </w:pPr>
          </w:p>
        </w:tc>
      </w:tr>
      <w:tr w14:paraId="2F0134A3">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18F7">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6048">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C3E9">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豫ES7313</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B568">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2018年10月</w:t>
            </w:r>
          </w:p>
        </w:tc>
        <w:tc>
          <w:tcPr>
            <w:tcW w:w="1605" w:type="pct"/>
            <w:vMerge w:val="continue"/>
            <w:tcBorders>
              <w:left w:val="single" w:color="000000" w:sz="4" w:space="0"/>
              <w:right w:val="single" w:color="000000" w:sz="4" w:space="0"/>
            </w:tcBorders>
            <w:shd w:val="clear" w:color="auto" w:fill="auto"/>
          </w:tcPr>
          <w:p w14:paraId="289AF337">
            <w:pPr>
              <w:rPr>
                <w:rFonts w:ascii="宋体" w:hAnsi="宋体" w:cs="宋体"/>
                <w:color w:val="auto"/>
                <w:sz w:val="28"/>
                <w:szCs w:val="28"/>
                <w:highlight w:val="none"/>
              </w:rPr>
            </w:pPr>
          </w:p>
        </w:tc>
      </w:tr>
      <w:tr w14:paraId="73436740">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18AA">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23</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781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F239">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豫EHW912</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F403">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2015年10月</w:t>
            </w:r>
          </w:p>
        </w:tc>
        <w:tc>
          <w:tcPr>
            <w:tcW w:w="1605" w:type="pct"/>
            <w:vMerge w:val="continue"/>
            <w:tcBorders>
              <w:left w:val="single" w:color="000000" w:sz="4" w:space="0"/>
              <w:right w:val="single" w:color="000000" w:sz="4" w:space="0"/>
            </w:tcBorders>
            <w:shd w:val="clear" w:color="auto" w:fill="auto"/>
          </w:tcPr>
          <w:p w14:paraId="4397ACD4">
            <w:pPr>
              <w:rPr>
                <w:rFonts w:ascii="宋体" w:hAnsi="宋体" w:cs="宋体"/>
                <w:color w:val="auto"/>
                <w:sz w:val="28"/>
                <w:szCs w:val="28"/>
                <w:highlight w:val="none"/>
              </w:rPr>
            </w:pPr>
          </w:p>
        </w:tc>
      </w:tr>
      <w:tr w14:paraId="73534C58">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89A7">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24</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74D7">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0FF3">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豫EF1795</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8D4D">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2018年10月</w:t>
            </w:r>
          </w:p>
        </w:tc>
        <w:tc>
          <w:tcPr>
            <w:tcW w:w="1605" w:type="pct"/>
            <w:vMerge w:val="continue"/>
            <w:tcBorders>
              <w:left w:val="single" w:color="000000" w:sz="4" w:space="0"/>
              <w:right w:val="single" w:color="000000" w:sz="4" w:space="0"/>
            </w:tcBorders>
            <w:shd w:val="clear" w:color="auto" w:fill="auto"/>
          </w:tcPr>
          <w:p w14:paraId="6063C2B6">
            <w:pPr>
              <w:rPr>
                <w:rFonts w:ascii="宋体" w:hAnsi="宋体" w:cs="宋体"/>
                <w:color w:val="auto"/>
                <w:sz w:val="28"/>
                <w:szCs w:val="28"/>
                <w:highlight w:val="none"/>
              </w:rPr>
            </w:pPr>
          </w:p>
        </w:tc>
      </w:tr>
      <w:tr w14:paraId="28583D67">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8050">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25</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04CA">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024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豫EX0579</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D0F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2017年1月</w:t>
            </w:r>
          </w:p>
        </w:tc>
        <w:tc>
          <w:tcPr>
            <w:tcW w:w="1605" w:type="pct"/>
            <w:vMerge w:val="continue"/>
            <w:tcBorders>
              <w:left w:val="single" w:color="000000" w:sz="4" w:space="0"/>
              <w:right w:val="single" w:color="000000" w:sz="4" w:space="0"/>
            </w:tcBorders>
            <w:shd w:val="clear" w:color="auto" w:fill="auto"/>
          </w:tcPr>
          <w:p w14:paraId="4926D6D3">
            <w:pPr>
              <w:rPr>
                <w:rFonts w:ascii="宋体" w:hAnsi="宋体" w:cs="宋体"/>
                <w:color w:val="auto"/>
                <w:sz w:val="28"/>
                <w:szCs w:val="28"/>
                <w:highlight w:val="none"/>
              </w:rPr>
            </w:pPr>
          </w:p>
        </w:tc>
      </w:tr>
      <w:tr w14:paraId="00F6CE51">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9054">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26</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AC57">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FAF2">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豫EHW966</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4B10">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2015年8月</w:t>
            </w:r>
          </w:p>
        </w:tc>
        <w:tc>
          <w:tcPr>
            <w:tcW w:w="1605" w:type="pct"/>
            <w:vMerge w:val="continue"/>
            <w:tcBorders>
              <w:left w:val="single" w:color="000000" w:sz="4" w:space="0"/>
              <w:right w:val="single" w:color="000000" w:sz="4" w:space="0"/>
            </w:tcBorders>
            <w:shd w:val="clear" w:color="auto" w:fill="auto"/>
          </w:tcPr>
          <w:p w14:paraId="767A5E8F">
            <w:pPr>
              <w:rPr>
                <w:rFonts w:ascii="宋体" w:hAnsi="宋体" w:cs="宋体"/>
                <w:color w:val="auto"/>
                <w:sz w:val="28"/>
                <w:szCs w:val="28"/>
                <w:highlight w:val="none"/>
              </w:rPr>
            </w:pPr>
          </w:p>
        </w:tc>
      </w:tr>
      <w:tr w14:paraId="5E7C100A">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4223">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27</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E28F">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D63F">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豫EE6215</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D3BF">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2018月1月</w:t>
            </w:r>
          </w:p>
        </w:tc>
        <w:tc>
          <w:tcPr>
            <w:tcW w:w="1605" w:type="pct"/>
            <w:vMerge w:val="continue"/>
            <w:tcBorders>
              <w:left w:val="single" w:color="000000" w:sz="4" w:space="0"/>
              <w:right w:val="single" w:color="000000" w:sz="4" w:space="0"/>
            </w:tcBorders>
            <w:shd w:val="clear" w:color="auto" w:fill="auto"/>
          </w:tcPr>
          <w:p w14:paraId="58F554FD">
            <w:pPr>
              <w:rPr>
                <w:rFonts w:ascii="宋体" w:hAnsi="宋体" w:cs="宋体"/>
                <w:color w:val="auto"/>
                <w:sz w:val="28"/>
                <w:szCs w:val="28"/>
                <w:highlight w:val="none"/>
              </w:rPr>
            </w:pPr>
          </w:p>
        </w:tc>
      </w:tr>
      <w:tr w14:paraId="5A99E6B7">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CD20">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28</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F857">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E4E8">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豫ES7323</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A624">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2018年11月</w:t>
            </w:r>
          </w:p>
        </w:tc>
        <w:tc>
          <w:tcPr>
            <w:tcW w:w="1605" w:type="pct"/>
            <w:vMerge w:val="continue"/>
            <w:tcBorders>
              <w:left w:val="single" w:color="000000" w:sz="4" w:space="0"/>
              <w:right w:val="single" w:color="000000" w:sz="4" w:space="0"/>
            </w:tcBorders>
            <w:shd w:val="clear" w:color="auto" w:fill="auto"/>
          </w:tcPr>
          <w:p w14:paraId="25242029">
            <w:pPr>
              <w:rPr>
                <w:rFonts w:ascii="宋体" w:hAnsi="宋体" w:cs="宋体"/>
                <w:color w:val="auto"/>
                <w:sz w:val="28"/>
                <w:szCs w:val="28"/>
                <w:highlight w:val="none"/>
              </w:rPr>
            </w:pPr>
          </w:p>
        </w:tc>
      </w:tr>
      <w:tr w14:paraId="380C705F">
        <w:tblPrEx>
          <w:tblCellMar>
            <w:top w:w="0" w:type="dxa"/>
            <w:left w:w="108" w:type="dxa"/>
            <w:bottom w:w="0" w:type="dxa"/>
            <w:right w:w="108" w:type="dxa"/>
          </w:tblCellMar>
        </w:tblPrEx>
        <w:trPr>
          <w:trHeight w:val="463"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290F">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65C1">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大型福龙马牌洒水车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855A">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豫EZ5337</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0218">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2018年11月</w:t>
            </w:r>
          </w:p>
        </w:tc>
        <w:tc>
          <w:tcPr>
            <w:tcW w:w="1605" w:type="pct"/>
            <w:vMerge w:val="continue"/>
            <w:tcBorders>
              <w:left w:val="single" w:color="000000" w:sz="4" w:space="0"/>
              <w:right w:val="single" w:color="000000" w:sz="4" w:space="0"/>
            </w:tcBorders>
            <w:shd w:val="clear" w:color="auto" w:fill="auto"/>
          </w:tcPr>
          <w:p w14:paraId="0C91087F">
            <w:pPr>
              <w:rPr>
                <w:rFonts w:ascii="宋体" w:hAnsi="宋体" w:cs="宋体"/>
                <w:color w:val="auto"/>
                <w:sz w:val="28"/>
                <w:szCs w:val="28"/>
                <w:highlight w:val="none"/>
              </w:rPr>
            </w:pPr>
          </w:p>
        </w:tc>
      </w:tr>
      <w:tr w14:paraId="479B1839">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FB65">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3O</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3F4A">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福田中型自卸货车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3E01">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豫EX0016</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2A77">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2017年5月</w:t>
            </w:r>
          </w:p>
        </w:tc>
        <w:tc>
          <w:tcPr>
            <w:tcW w:w="1605" w:type="pct"/>
            <w:vMerge w:val="continue"/>
            <w:tcBorders>
              <w:left w:val="single" w:color="000000" w:sz="4" w:space="0"/>
              <w:right w:val="single" w:color="000000" w:sz="4" w:space="0"/>
            </w:tcBorders>
            <w:shd w:val="clear" w:color="auto" w:fill="auto"/>
          </w:tcPr>
          <w:p w14:paraId="56E63BC7">
            <w:pPr>
              <w:jc w:val="left"/>
              <w:textAlignment w:val="top"/>
              <w:rPr>
                <w:rFonts w:ascii="宋体" w:hAnsi="宋体" w:cs="宋体"/>
                <w:color w:val="auto"/>
                <w:sz w:val="24"/>
                <w:szCs w:val="24"/>
                <w:highlight w:val="none"/>
                <w:lang w:bidi="ar"/>
              </w:rPr>
            </w:pPr>
          </w:p>
        </w:tc>
      </w:tr>
      <w:tr w14:paraId="5BFF5B81">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8A20">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31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54E7">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福田小型客货自卸货车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E98A">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豫E81J38</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2BB0">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2021年4月</w:t>
            </w:r>
          </w:p>
        </w:tc>
        <w:tc>
          <w:tcPr>
            <w:tcW w:w="1605" w:type="pct"/>
            <w:vMerge w:val="continue"/>
            <w:tcBorders>
              <w:left w:val="single" w:color="000000" w:sz="4" w:space="0"/>
              <w:right w:val="single" w:color="000000" w:sz="4" w:space="0"/>
            </w:tcBorders>
            <w:shd w:val="clear" w:color="auto" w:fill="auto"/>
          </w:tcPr>
          <w:p w14:paraId="590F2C62">
            <w:pPr>
              <w:jc w:val="left"/>
              <w:textAlignment w:val="top"/>
              <w:rPr>
                <w:rFonts w:ascii="宋体" w:hAnsi="宋体" w:cs="宋体"/>
                <w:color w:val="auto"/>
                <w:sz w:val="24"/>
                <w:szCs w:val="24"/>
                <w:highlight w:val="none"/>
                <w:lang w:bidi="ar"/>
              </w:rPr>
            </w:pPr>
          </w:p>
        </w:tc>
      </w:tr>
      <w:tr w14:paraId="6E7266D8">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F2EF">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32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57AF">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福田小型客货自卸货车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311B">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xml:space="preserve"> 豫EX0K69</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C281">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2021年4月</w:t>
            </w:r>
          </w:p>
        </w:tc>
        <w:tc>
          <w:tcPr>
            <w:tcW w:w="1605" w:type="pct"/>
            <w:vMerge w:val="continue"/>
            <w:tcBorders>
              <w:left w:val="single" w:color="000000" w:sz="4" w:space="0"/>
              <w:right w:val="single" w:color="000000" w:sz="4" w:space="0"/>
            </w:tcBorders>
            <w:shd w:val="clear" w:color="auto" w:fill="auto"/>
          </w:tcPr>
          <w:p w14:paraId="4BA15018">
            <w:pPr>
              <w:jc w:val="left"/>
              <w:textAlignment w:val="top"/>
              <w:rPr>
                <w:rFonts w:ascii="宋体" w:hAnsi="宋体" w:cs="宋体"/>
                <w:color w:val="auto"/>
                <w:sz w:val="24"/>
                <w:szCs w:val="24"/>
                <w:highlight w:val="none"/>
                <w:lang w:bidi="ar"/>
              </w:rPr>
            </w:pPr>
          </w:p>
        </w:tc>
      </w:tr>
      <w:tr w14:paraId="0ECC5F0B">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7A3B">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33</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F84A">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福田小型客货自卸货车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BC1B">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豫EW8Y21</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4A24">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2021年4月</w:t>
            </w:r>
          </w:p>
        </w:tc>
        <w:tc>
          <w:tcPr>
            <w:tcW w:w="1605" w:type="pct"/>
            <w:vMerge w:val="continue"/>
            <w:tcBorders>
              <w:left w:val="single" w:color="000000" w:sz="4" w:space="0"/>
              <w:right w:val="single" w:color="000000" w:sz="4" w:space="0"/>
            </w:tcBorders>
            <w:shd w:val="clear" w:color="auto" w:fill="auto"/>
          </w:tcPr>
          <w:p w14:paraId="23D8DFF4">
            <w:pPr>
              <w:jc w:val="left"/>
              <w:textAlignment w:val="top"/>
              <w:rPr>
                <w:rFonts w:ascii="宋体" w:hAnsi="宋体" w:cs="宋体"/>
                <w:color w:val="auto"/>
                <w:sz w:val="24"/>
                <w:szCs w:val="24"/>
                <w:highlight w:val="none"/>
                <w:lang w:bidi="ar"/>
              </w:rPr>
            </w:pPr>
          </w:p>
        </w:tc>
      </w:tr>
      <w:tr w14:paraId="7B069CD4">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59D7">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34</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10BE">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福田重型平板货车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C242">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豫EJ8730</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5355">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2022年2月</w:t>
            </w:r>
          </w:p>
        </w:tc>
        <w:tc>
          <w:tcPr>
            <w:tcW w:w="1605" w:type="pct"/>
            <w:vMerge w:val="continue"/>
            <w:tcBorders>
              <w:left w:val="single" w:color="000000" w:sz="4" w:space="0"/>
              <w:right w:val="single" w:color="000000" w:sz="4" w:space="0"/>
            </w:tcBorders>
            <w:shd w:val="clear" w:color="auto" w:fill="auto"/>
          </w:tcPr>
          <w:p w14:paraId="7C8CA7A6">
            <w:pPr>
              <w:jc w:val="left"/>
              <w:textAlignment w:val="top"/>
              <w:rPr>
                <w:rFonts w:ascii="宋体" w:hAnsi="宋体" w:cs="宋体"/>
                <w:color w:val="auto"/>
                <w:sz w:val="24"/>
                <w:szCs w:val="24"/>
                <w:highlight w:val="none"/>
                <w:lang w:bidi="ar"/>
              </w:rPr>
            </w:pPr>
          </w:p>
        </w:tc>
      </w:tr>
      <w:tr w14:paraId="2E0F2D1C">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41D5">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35</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215B">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综合养护车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826C">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豫EU1367</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4101">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2020年7月</w:t>
            </w:r>
          </w:p>
        </w:tc>
        <w:tc>
          <w:tcPr>
            <w:tcW w:w="1605" w:type="pct"/>
            <w:vMerge w:val="continue"/>
            <w:tcBorders>
              <w:left w:val="single" w:color="000000" w:sz="4" w:space="0"/>
              <w:right w:val="single" w:color="000000" w:sz="4" w:space="0"/>
            </w:tcBorders>
            <w:shd w:val="clear" w:color="auto" w:fill="auto"/>
          </w:tcPr>
          <w:p w14:paraId="149118AF">
            <w:pPr>
              <w:jc w:val="left"/>
              <w:textAlignment w:val="top"/>
              <w:rPr>
                <w:rFonts w:ascii="宋体" w:hAnsi="宋体" w:cs="宋体"/>
                <w:color w:val="auto"/>
                <w:sz w:val="24"/>
                <w:szCs w:val="24"/>
                <w:highlight w:val="none"/>
                <w:lang w:bidi="ar"/>
              </w:rPr>
            </w:pPr>
          </w:p>
        </w:tc>
      </w:tr>
      <w:tr w14:paraId="525199B5">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FB11">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36</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B10D">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隔离护栏清洗车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D0E1">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无牌</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E171">
            <w:pPr>
              <w:jc w:val="center"/>
              <w:textAlignment w:val="center"/>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2016年4月</w:t>
            </w:r>
          </w:p>
        </w:tc>
        <w:tc>
          <w:tcPr>
            <w:tcW w:w="1605" w:type="pct"/>
            <w:vMerge w:val="continue"/>
            <w:tcBorders>
              <w:left w:val="single" w:color="000000" w:sz="4" w:space="0"/>
              <w:bottom w:val="single" w:color="000000" w:sz="4" w:space="0"/>
              <w:right w:val="single" w:color="000000" w:sz="4" w:space="0"/>
            </w:tcBorders>
            <w:shd w:val="clear" w:color="auto" w:fill="auto"/>
          </w:tcPr>
          <w:p w14:paraId="1EE11455">
            <w:pPr>
              <w:jc w:val="left"/>
              <w:textAlignment w:val="top"/>
              <w:rPr>
                <w:rFonts w:ascii="宋体" w:hAnsi="宋体" w:cs="宋体"/>
                <w:color w:val="auto"/>
                <w:sz w:val="24"/>
                <w:szCs w:val="24"/>
                <w:highlight w:val="none"/>
                <w:lang w:bidi="ar"/>
              </w:rPr>
            </w:pPr>
          </w:p>
        </w:tc>
      </w:tr>
      <w:tr w14:paraId="0DBF78BD">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4956">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37</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FA6F">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大型犀重牌电动洗扫车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341E">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豫E08817D</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73D1">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2023年10月</w:t>
            </w:r>
          </w:p>
        </w:tc>
        <w:tc>
          <w:tcPr>
            <w:tcW w:w="1605" w:type="pct"/>
            <w:vMerge w:val="restart"/>
            <w:tcBorders>
              <w:top w:val="single" w:color="000000" w:sz="4" w:space="0"/>
              <w:left w:val="single" w:color="000000" w:sz="4" w:space="0"/>
              <w:right w:val="single" w:color="000000" w:sz="4" w:space="0"/>
            </w:tcBorders>
            <w:shd w:val="clear" w:color="auto" w:fill="auto"/>
          </w:tcPr>
          <w:p w14:paraId="5C567583">
            <w:pPr>
              <w:jc w:val="left"/>
              <w:textAlignment w:val="top"/>
              <w:rPr>
                <w:rFonts w:ascii="宋体" w:hAnsi="宋体" w:cs="宋体"/>
                <w:color w:val="auto"/>
                <w:sz w:val="24"/>
                <w:szCs w:val="24"/>
                <w:highlight w:val="none"/>
              </w:rPr>
            </w:pP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灯光系统，空调系统，电控系统，气动系统，液压系统，散热系统，隔膜泵，扬程泵，三联柱塞泵，吸盘校正，扫盘，阀门，高压喷水管路，液压管等维修项目， 更换打气泵润滑油，滤芯，空气滤芯，空调滤芯防冻液等保养项目。</w:t>
            </w:r>
          </w:p>
        </w:tc>
      </w:tr>
      <w:tr w14:paraId="0EA8B848">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8A69">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38</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8209">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大型犀重牌电动洗扫车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8237">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豫E03768D</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3CE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2023年10月</w:t>
            </w:r>
          </w:p>
        </w:tc>
        <w:tc>
          <w:tcPr>
            <w:tcW w:w="1605" w:type="pct"/>
            <w:vMerge w:val="continue"/>
            <w:tcBorders>
              <w:left w:val="single" w:color="000000" w:sz="4" w:space="0"/>
              <w:right w:val="single" w:color="000000" w:sz="4" w:space="0"/>
            </w:tcBorders>
            <w:shd w:val="clear" w:color="auto" w:fill="auto"/>
          </w:tcPr>
          <w:p w14:paraId="174C45FC">
            <w:pPr>
              <w:rPr>
                <w:rFonts w:ascii="宋体" w:hAnsi="宋体" w:cs="宋体"/>
                <w:color w:val="auto"/>
                <w:sz w:val="28"/>
                <w:szCs w:val="28"/>
                <w:highlight w:val="none"/>
              </w:rPr>
            </w:pPr>
          </w:p>
        </w:tc>
      </w:tr>
      <w:tr w14:paraId="32AE2FE4">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73D2">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39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8953">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大型犀重牌电动洗扫车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9A5A">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豫E00693D</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BA6B">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2023年3月</w:t>
            </w:r>
          </w:p>
        </w:tc>
        <w:tc>
          <w:tcPr>
            <w:tcW w:w="1605" w:type="pct"/>
            <w:vMerge w:val="continue"/>
            <w:tcBorders>
              <w:left w:val="single" w:color="000000" w:sz="4" w:space="0"/>
              <w:right w:val="single" w:color="000000" w:sz="4" w:space="0"/>
            </w:tcBorders>
            <w:shd w:val="clear" w:color="auto" w:fill="auto"/>
          </w:tcPr>
          <w:p w14:paraId="77E3B28F">
            <w:pPr>
              <w:rPr>
                <w:rFonts w:ascii="宋体" w:hAnsi="宋体" w:cs="宋体"/>
                <w:color w:val="auto"/>
                <w:sz w:val="28"/>
                <w:szCs w:val="28"/>
                <w:highlight w:val="none"/>
              </w:rPr>
            </w:pPr>
          </w:p>
        </w:tc>
      </w:tr>
      <w:tr w14:paraId="241EC771">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234E">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40</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A24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大型犀重牌电动洗扫车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18B1">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豫E03322D</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A198">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2023年9月</w:t>
            </w:r>
          </w:p>
        </w:tc>
        <w:tc>
          <w:tcPr>
            <w:tcW w:w="1605" w:type="pct"/>
            <w:vMerge w:val="continue"/>
            <w:tcBorders>
              <w:left w:val="single" w:color="000000" w:sz="4" w:space="0"/>
              <w:right w:val="single" w:color="000000" w:sz="4" w:space="0"/>
            </w:tcBorders>
            <w:shd w:val="clear" w:color="auto" w:fill="auto"/>
          </w:tcPr>
          <w:p w14:paraId="419DCD5C">
            <w:pPr>
              <w:rPr>
                <w:rFonts w:ascii="宋体" w:hAnsi="宋体" w:cs="宋体"/>
                <w:color w:val="auto"/>
                <w:sz w:val="28"/>
                <w:szCs w:val="28"/>
                <w:highlight w:val="none"/>
              </w:rPr>
            </w:pPr>
          </w:p>
        </w:tc>
      </w:tr>
      <w:tr w14:paraId="50C0B699">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D37A">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41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55C7">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大型犀重牌电动洗扫车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B81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豫E09951D</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5E9E">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2023年3月</w:t>
            </w:r>
          </w:p>
        </w:tc>
        <w:tc>
          <w:tcPr>
            <w:tcW w:w="1605" w:type="pct"/>
            <w:vMerge w:val="continue"/>
            <w:tcBorders>
              <w:left w:val="single" w:color="000000" w:sz="4" w:space="0"/>
              <w:right w:val="single" w:color="000000" w:sz="4" w:space="0"/>
            </w:tcBorders>
            <w:shd w:val="clear" w:color="auto" w:fill="auto"/>
          </w:tcPr>
          <w:p w14:paraId="6EECEE64">
            <w:pPr>
              <w:rPr>
                <w:rFonts w:ascii="宋体" w:hAnsi="宋体" w:cs="宋体"/>
                <w:color w:val="auto"/>
                <w:sz w:val="28"/>
                <w:szCs w:val="28"/>
                <w:highlight w:val="none"/>
              </w:rPr>
            </w:pPr>
          </w:p>
        </w:tc>
      </w:tr>
      <w:tr w14:paraId="04520302">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4603">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42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A66D">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大型犀重牌电动洗扫车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15B8">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豫E05778D</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228D">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2023年3月</w:t>
            </w:r>
          </w:p>
        </w:tc>
        <w:tc>
          <w:tcPr>
            <w:tcW w:w="1605" w:type="pct"/>
            <w:vMerge w:val="continue"/>
            <w:tcBorders>
              <w:left w:val="single" w:color="000000" w:sz="4" w:space="0"/>
              <w:right w:val="single" w:color="000000" w:sz="4" w:space="0"/>
            </w:tcBorders>
            <w:shd w:val="clear" w:color="auto" w:fill="auto"/>
          </w:tcPr>
          <w:p w14:paraId="2C181616">
            <w:pPr>
              <w:rPr>
                <w:rFonts w:ascii="宋体" w:hAnsi="宋体" w:cs="宋体"/>
                <w:color w:val="auto"/>
                <w:sz w:val="28"/>
                <w:szCs w:val="28"/>
                <w:highlight w:val="none"/>
              </w:rPr>
            </w:pPr>
          </w:p>
        </w:tc>
      </w:tr>
      <w:tr w14:paraId="04DF13DA">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C09B">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43</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1772">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大型犀重牌电动洗扫车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C03E">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豫E03363D</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E29A">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2023年9月</w:t>
            </w:r>
          </w:p>
        </w:tc>
        <w:tc>
          <w:tcPr>
            <w:tcW w:w="1605" w:type="pct"/>
            <w:vMerge w:val="continue"/>
            <w:tcBorders>
              <w:left w:val="single" w:color="000000" w:sz="4" w:space="0"/>
              <w:right w:val="single" w:color="000000" w:sz="4" w:space="0"/>
            </w:tcBorders>
            <w:shd w:val="clear" w:color="auto" w:fill="auto"/>
          </w:tcPr>
          <w:p w14:paraId="06557F3E">
            <w:pPr>
              <w:rPr>
                <w:rFonts w:ascii="宋体" w:hAnsi="宋体" w:cs="宋体"/>
                <w:color w:val="auto"/>
                <w:sz w:val="28"/>
                <w:szCs w:val="28"/>
                <w:highlight w:val="none"/>
              </w:rPr>
            </w:pPr>
          </w:p>
        </w:tc>
      </w:tr>
      <w:tr w14:paraId="51F2A05E">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4282">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44</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EA60">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大型犀重牌电动洗扫车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62C0">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豫E06118D</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7A48">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2023年10月</w:t>
            </w:r>
          </w:p>
        </w:tc>
        <w:tc>
          <w:tcPr>
            <w:tcW w:w="1605" w:type="pct"/>
            <w:vMerge w:val="continue"/>
            <w:tcBorders>
              <w:left w:val="single" w:color="000000" w:sz="4" w:space="0"/>
              <w:right w:val="single" w:color="000000" w:sz="4" w:space="0"/>
            </w:tcBorders>
            <w:shd w:val="clear" w:color="auto" w:fill="auto"/>
          </w:tcPr>
          <w:p w14:paraId="7B82E56C">
            <w:pPr>
              <w:rPr>
                <w:rFonts w:ascii="宋体" w:hAnsi="宋体" w:cs="宋体"/>
                <w:color w:val="auto"/>
                <w:sz w:val="28"/>
                <w:szCs w:val="28"/>
                <w:highlight w:val="none"/>
              </w:rPr>
            </w:pPr>
          </w:p>
        </w:tc>
      </w:tr>
      <w:tr w14:paraId="4FFDFB75">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74A1">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45</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DF9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大型犀重牌电动洗扫车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9F0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豫E00731D</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AF9B">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2023年10月</w:t>
            </w:r>
          </w:p>
        </w:tc>
        <w:tc>
          <w:tcPr>
            <w:tcW w:w="1605" w:type="pct"/>
            <w:vMerge w:val="continue"/>
            <w:tcBorders>
              <w:left w:val="single" w:color="000000" w:sz="4" w:space="0"/>
              <w:right w:val="single" w:color="000000" w:sz="4" w:space="0"/>
            </w:tcBorders>
            <w:shd w:val="clear" w:color="auto" w:fill="auto"/>
          </w:tcPr>
          <w:p w14:paraId="29B42888">
            <w:pPr>
              <w:rPr>
                <w:rFonts w:ascii="宋体" w:hAnsi="宋体" w:cs="宋体"/>
                <w:color w:val="auto"/>
                <w:sz w:val="28"/>
                <w:szCs w:val="28"/>
                <w:highlight w:val="none"/>
              </w:rPr>
            </w:pPr>
          </w:p>
        </w:tc>
      </w:tr>
      <w:tr w14:paraId="53436894">
        <w:tblPrEx>
          <w:tblCellMar>
            <w:top w:w="0" w:type="dxa"/>
            <w:left w:w="108" w:type="dxa"/>
            <w:bottom w:w="0" w:type="dxa"/>
            <w:right w:w="108" w:type="dxa"/>
          </w:tblCellMar>
        </w:tblPrEx>
        <w:trPr>
          <w:trHeight w:val="53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1A7D">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46</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04C9">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大型犀重牌电动洗扫车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DD74">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豫E03177D</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6FFB">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2023年9月</w:t>
            </w:r>
          </w:p>
        </w:tc>
        <w:tc>
          <w:tcPr>
            <w:tcW w:w="1605" w:type="pct"/>
            <w:vMerge w:val="continue"/>
            <w:tcBorders>
              <w:left w:val="single" w:color="000000" w:sz="4" w:space="0"/>
              <w:right w:val="single" w:color="000000" w:sz="4" w:space="0"/>
            </w:tcBorders>
            <w:shd w:val="clear" w:color="auto" w:fill="auto"/>
          </w:tcPr>
          <w:p w14:paraId="0BBEFDFA">
            <w:pPr>
              <w:rPr>
                <w:rFonts w:ascii="宋体" w:hAnsi="宋体" w:cs="宋体"/>
                <w:color w:val="auto"/>
                <w:sz w:val="28"/>
                <w:szCs w:val="28"/>
                <w:highlight w:val="none"/>
              </w:rPr>
            </w:pPr>
          </w:p>
        </w:tc>
      </w:tr>
      <w:tr w14:paraId="3C25D2EE">
        <w:tblPrEx>
          <w:tblCellMar>
            <w:top w:w="0" w:type="dxa"/>
            <w:left w:w="108" w:type="dxa"/>
            <w:bottom w:w="0" w:type="dxa"/>
            <w:right w:w="108" w:type="dxa"/>
          </w:tblCellMar>
        </w:tblPrEx>
        <w:trPr>
          <w:trHeight w:val="503"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5F63">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47</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4144">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大型犀重牌电动洒水车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D2A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豫E07370D</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1047">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2023年12月</w:t>
            </w:r>
          </w:p>
        </w:tc>
        <w:tc>
          <w:tcPr>
            <w:tcW w:w="1605" w:type="pct"/>
            <w:vMerge w:val="continue"/>
            <w:tcBorders>
              <w:left w:val="single" w:color="000000" w:sz="4" w:space="0"/>
              <w:right w:val="single" w:color="000000" w:sz="4" w:space="0"/>
            </w:tcBorders>
            <w:shd w:val="clear" w:color="auto" w:fill="auto"/>
            <w:vAlign w:val="center"/>
          </w:tcPr>
          <w:p w14:paraId="5BA49940">
            <w:pPr>
              <w:jc w:val="left"/>
              <w:textAlignment w:val="center"/>
              <w:rPr>
                <w:rFonts w:ascii="宋体" w:hAnsi="宋体" w:cs="宋体"/>
                <w:color w:val="auto"/>
                <w:sz w:val="28"/>
                <w:szCs w:val="28"/>
                <w:highlight w:val="none"/>
              </w:rPr>
            </w:pPr>
          </w:p>
        </w:tc>
      </w:tr>
      <w:tr w14:paraId="20212CDF">
        <w:tblPrEx>
          <w:tblCellMar>
            <w:top w:w="0" w:type="dxa"/>
            <w:left w:w="108" w:type="dxa"/>
            <w:bottom w:w="0" w:type="dxa"/>
            <w:right w:w="108" w:type="dxa"/>
          </w:tblCellMar>
        </w:tblPrEx>
        <w:trPr>
          <w:trHeight w:val="529"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70CD">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48</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764F">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大型犀重牌电动洒水车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09CF">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豫E07717D</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49E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2023年12月</w:t>
            </w:r>
          </w:p>
        </w:tc>
        <w:tc>
          <w:tcPr>
            <w:tcW w:w="1605" w:type="pct"/>
            <w:vMerge w:val="continue"/>
            <w:tcBorders>
              <w:left w:val="single" w:color="000000" w:sz="4" w:space="0"/>
              <w:right w:val="single" w:color="000000" w:sz="4" w:space="0"/>
            </w:tcBorders>
            <w:shd w:val="clear" w:color="auto" w:fill="auto"/>
            <w:vAlign w:val="center"/>
          </w:tcPr>
          <w:p w14:paraId="06E62976">
            <w:pPr>
              <w:rPr>
                <w:rFonts w:ascii="宋体" w:hAnsi="宋体" w:cs="宋体"/>
                <w:color w:val="auto"/>
                <w:sz w:val="28"/>
                <w:szCs w:val="28"/>
                <w:highlight w:val="none"/>
              </w:rPr>
            </w:pPr>
          </w:p>
        </w:tc>
      </w:tr>
      <w:tr w14:paraId="0CC668E9">
        <w:tblPrEx>
          <w:tblCellMar>
            <w:top w:w="0" w:type="dxa"/>
            <w:left w:w="108" w:type="dxa"/>
            <w:bottom w:w="0" w:type="dxa"/>
            <w:right w:w="108" w:type="dxa"/>
          </w:tblCellMar>
        </w:tblPrEx>
        <w:trPr>
          <w:trHeight w:val="51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1DCF">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49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83F8">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大型犀重牌电动洒水车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113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豫E00206D</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1988">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2023年12月</w:t>
            </w:r>
          </w:p>
        </w:tc>
        <w:tc>
          <w:tcPr>
            <w:tcW w:w="1605" w:type="pct"/>
            <w:vMerge w:val="continue"/>
            <w:tcBorders>
              <w:left w:val="single" w:color="000000" w:sz="4" w:space="0"/>
              <w:right w:val="single" w:color="000000" w:sz="4" w:space="0"/>
            </w:tcBorders>
            <w:shd w:val="clear" w:color="auto" w:fill="auto"/>
            <w:vAlign w:val="center"/>
          </w:tcPr>
          <w:p w14:paraId="03BEE766">
            <w:pPr>
              <w:rPr>
                <w:rFonts w:ascii="宋体" w:hAnsi="宋体" w:cs="宋体"/>
                <w:color w:val="auto"/>
                <w:sz w:val="28"/>
                <w:szCs w:val="28"/>
                <w:highlight w:val="none"/>
              </w:rPr>
            </w:pPr>
          </w:p>
        </w:tc>
      </w:tr>
      <w:tr w14:paraId="33C45B0F">
        <w:tblPrEx>
          <w:tblCellMar>
            <w:top w:w="0" w:type="dxa"/>
            <w:left w:w="108" w:type="dxa"/>
            <w:bottom w:w="0" w:type="dxa"/>
            <w:right w:w="108" w:type="dxa"/>
          </w:tblCellMar>
        </w:tblPrEx>
        <w:trPr>
          <w:trHeight w:val="51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1CBC">
            <w:pPr>
              <w:rPr>
                <w:rFonts w:ascii="宋体" w:hAnsi="宋体" w:cs="宋体"/>
                <w:color w:val="auto"/>
                <w:sz w:val="28"/>
                <w:szCs w:val="28"/>
                <w:highlight w:val="none"/>
              </w:rPr>
            </w:pPr>
            <w:r>
              <w:rPr>
                <w:rFonts w:hint="eastAsia" w:ascii="宋体" w:hAnsi="宋体" w:cs="宋体"/>
                <w:color w:val="auto"/>
                <w:sz w:val="24"/>
                <w:szCs w:val="24"/>
                <w:highlight w:val="none"/>
              </w:rPr>
              <w:t>合计：49台</w:t>
            </w:r>
          </w:p>
        </w:tc>
      </w:tr>
    </w:tbl>
    <w:p w14:paraId="1D695458">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注：1.本项目涉及车辆为大型特种保洁车辆，作业范围及车辆停放位置均在殷都区辖区的国省道，多为长约12米、宽约3.5米的黄牌车辆，不具备进市条件。如保洁车辆出现故障须1小时内到达现场进行处置</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如现场不能及时排除故障</w:t>
      </w:r>
      <w:r>
        <w:rPr>
          <w:rFonts w:hint="eastAsia" w:ascii="宋体" w:hAnsi="宋体" w:cs="宋体"/>
          <w:b/>
          <w:bCs/>
          <w:color w:val="auto"/>
          <w:sz w:val="24"/>
          <w:szCs w:val="24"/>
          <w:highlight w:val="none"/>
          <w:lang w:eastAsia="zh-CN"/>
        </w:rPr>
        <w:t>的</w:t>
      </w:r>
      <w:r>
        <w:rPr>
          <w:rFonts w:hint="eastAsia" w:ascii="宋体" w:hAnsi="宋体" w:cs="宋体"/>
          <w:b/>
          <w:bCs/>
          <w:color w:val="auto"/>
          <w:sz w:val="24"/>
          <w:szCs w:val="24"/>
          <w:highlight w:val="none"/>
        </w:rPr>
        <w:t>须在车辆保洁作业范围内有正规维修厂，便于车辆及时、高效修理，保证车辆及时恢复正常保洁工作。</w:t>
      </w:r>
    </w:p>
    <w:p w14:paraId="1527BC98">
      <w:pPr>
        <w:numPr>
          <w:ilvl w:val="0"/>
          <w:numId w:val="1"/>
        </w:numPr>
        <w:spacing w:line="360" w:lineRule="auto"/>
        <w:ind w:firstLine="482" w:firstLineChars="200"/>
        <w:rPr>
          <w:rFonts w:ascii="宋体" w:hAnsi="宋体" w:cs="宋体"/>
          <w:b/>
          <w:bCs/>
          <w:color w:val="auto"/>
          <w:sz w:val="24"/>
          <w:szCs w:val="24"/>
          <w:highlight w:val="none"/>
        </w:rPr>
      </w:pPr>
      <w:r>
        <w:rPr>
          <w:rFonts w:hint="eastAsia" w:ascii="宋体" w:hAnsi="宋体" w:cs="宋体"/>
          <w:b/>
          <w:color w:val="auto"/>
          <w:sz w:val="24"/>
          <w:szCs w:val="24"/>
          <w:highlight w:val="none"/>
          <w:lang w:bidi="ar"/>
        </w:rPr>
        <w:t>发动机大修及正常工作消耗配件（如扫刷、喷嘴、轮胎）另行结算，日常包修车辆须及时修理，保证正常工作。如出现包修外大修项目，维修厂须按照行业价格对工时费进行优惠。</w:t>
      </w:r>
    </w:p>
    <w:p w14:paraId="78E4BFD5">
      <w:pPr>
        <w:numPr>
          <w:ilvl w:val="0"/>
          <w:numId w:val="1"/>
        </w:num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日常车辆保养，主机每</w:t>
      </w:r>
      <w:r>
        <w:rPr>
          <w:rFonts w:hint="eastAsia" w:ascii="宋体" w:hAnsi="宋体" w:cs="宋体"/>
          <w:b/>
          <w:bCs/>
          <w:color w:val="auto"/>
          <w:sz w:val="24"/>
          <w:szCs w:val="24"/>
          <w:highlight w:val="none"/>
          <w:lang w:eastAsia="zh-CN"/>
        </w:rPr>
        <w:t>5</w:t>
      </w:r>
      <w:r>
        <w:rPr>
          <w:rFonts w:hint="eastAsia" w:ascii="宋体" w:hAnsi="宋体" w:cs="宋体"/>
          <w:b/>
          <w:bCs/>
          <w:color w:val="auto"/>
          <w:sz w:val="24"/>
          <w:szCs w:val="24"/>
          <w:highlight w:val="none"/>
        </w:rPr>
        <w:t>000公里，副机每工作3</w:t>
      </w:r>
      <w:r>
        <w:rPr>
          <w:rFonts w:hint="eastAsia" w:ascii="宋体" w:hAnsi="宋体" w:cs="宋体"/>
          <w:b/>
          <w:bCs/>
          <w:color w:val="auto"/>
          <w:sz w:val="24"/>
          <w:szCs w:val="24"/>
          <w:highlight w:val="none"/>
          <w:lang w:eastAsia="zh-CN"/>
        </w:rPr>
        <w:t>0</w:t>
      </w:r>
      <w:r>
        <w:rPr>
          <w:rFonts w:hint="eastAsia" w:ascii="宋体" w:hAnsi="宋体" w:cs="宋体"/>
          <w:b/>
          <w:bCs/>
          <w:color w:val="auto"/>
          <w:sz w:val="24"/>
          <w:szCs w:val="24"/>
          <w:highlight w:val="none"/>
        </w:rPr>
        <w:t>0个小时，防冻液冬季更换及日常添加，尿素液的添加使用等。</w:t>
      </w:r>
    </w:p>
    <w:p w14:paraId="67337943">
      <w:pPr>
        <w:spacing w:line="276" w:lineRule="auto"/>
        <w:ind w:firstLine="482" w:firstLineChars="200"/>
        <w:rPr>
          <w:b/>
          <w:color w:val="auto"/>
          <w:sz w:val="24"/>
          <w:szCs w:val="24"/>
          <w:highlight w:val="none"/>
        </w:rPr>
      </w:pPr>
      <w:r>
        <w:rPr>
          <w:rFonts w:hint="eastAsia"/>
          <w:b/>
          <w:color w:val="auto"/>
          <w:sz w:val="24"/>
          <w:szCs w:val="24"/>
          <w:highlight w:val="none"/>
        </w:rPr>
        <w:t>二、基本要求：</w:t>
      </w:r>
    </w:p>
    <w:p w14:paraId="5B79B799">
      <w:pPr>
        <w:widowControl w:val="0"/>
        <w:adjustRightInd w:val="0"/>
        <w:snapToGrid w:val="0"/>
        <w:spacing w:before="156" w:beforeLines="50" w:line="300" w:lineRule="auto"/>
        <w:ind w:left="22" w:firstLine="555"/>
        <w:jc w:val="left"/>
        <w:rPr>
          <w:rFonts w:ascii="宋体" w:hAnsi="宋体"/>
          <w:color w:val="auto"/>
          <w:sz w:val="24"/>
          <w:szCs w:val="24"/>
          <w:highlight w:val="none"/>
        </w:rPr>
      </w:pPr>
      <w:r>
        <w:rPr>
          <w:rFonts w:hint="eastAsia"/>
          <w:color w:val="auto"/>
          <w:sz w:val="24"/>
          <w:szCs w:val="24"/>
          <w:highlight w:val="none"/>
        </w:rPr>
        <w:t>1、</w:t>
      </w:r>
      <w:r>
        <w:rPr>
          <w:rFonts w:hint="eastAsia" w:ascii="宋体" w:hAnsi="宋体"/>
          <w:color w:val="auto"/>
          <w:sz w:val="24"/>
          <w:szCs w:val="24"/>
          <w:highlight w:val="none"/>
        </w:rPr>
        <w:t>维修质量执行中华人民共和国交通部的《机动车维修管理》有关规定（有更新以更新规定为准）。</w:t>
      </w:r>
    </w:p>
    <w:p w14:paraId="20E762A8">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2、维修合格出厂车辆的质量保证期为：总成大修，更换汽车配件在一年内质保，厂家规定质保期大于一年的按厂家规定执行；一级维护、小修及专项修理，车辆行驶2000公里内质保；质保期内连续出现两次相同故障，无偿提供配件换新。</w:t>
      </w:r>
    </w:p>
    <w:p w14:paraId="5A2F6062">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3、维修服务所使用的各配件应为原厂对应车型的对应配件，配件材料的技术参数均应为全新产品且符合国家质量标准、部颁标准及行业规范的要求，应符合国家各项强制性标准要求。</w:t>
      </w:r>
    </w:p>
    <w:p w14:paraId="7E14C6AD">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4、在保修期内，因维修质量造成的机械故障、机械事故并由此造成的经济损失（工时费、材料损耗），由维修单位承担，如维修企业不承担各项费用采购人有权取消其中标资格，并按违约处理。</w:t>
      </w:r>
    </w:p>
    <w:p w14:paraId="4461491B">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5、维修企业维修后的车辆，如发现存在偷工减料或者假冒伪劣配件材料的情况，将取消其定点维修资格，并承担法律责任。</w:t>
      </w:r>
    </w:p>
    <w:p w14:paraId="2CAA3929">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6、经修车辆达不到规定的质量标准和技术要求的，返修的车辆不得再计价收费。车辆竣工出厂执行质量保证期制度，质量保证期内发生因维修质量引发的故障，承修的维修企业必须优先修理；</w:t>
      </w:r>
    </w:p>
    <w:p w14:paraId="0EDE3935">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7、对维修竣工出厂车辆出现的质量问题或与协议约定的项目不符的问题，采购人有权要求承修的维修企业无偿返工。</w:t>
      </w:r>
    </w:p>
    <w:p w14:paraId="6F0FFE66">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8、成交维修企业必须保证所提供配件材料是符合国家质量标准的全新原厂配件，不得以次充好。</w:t>
      </w:r>
    </w:p>
    <w:p w14:paraId="0CEA4E65">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9、成交维修企业必须储备相应的库存配件，以保证维修车辆需要更换配件的三日内，将车辆维修所需配件配齐（指常用车型配件）。</w:t>
      </w:r>
    </w:p>
    <w:p w14:paraId="3D189340">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10、成交维修企业应严格按照投标文件承诺和《维修合同》条款履行义务，如果成交维修企业所使用产品未达到要求标准，或者不履行投标文件承诺和《维修合同》条款，采购人将通过法律途径解决。</w:t>
      </w:r>
    </w:p>
    <w:p w14:paraId="6B6E7C0B">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11、更换下的旧汽车配件维修企业须登记备案，经采购人核查后，再行销毁或处理，擅自销毁或处理的，取消定点资格。</w:t>
      </w:r>
    </w:p>
    <w:p w14:paraId="7652E3F3">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12、成交维修企业应每季度向采购人报备一次所拥有车型的配件报价明细。采购人有权在提供的报价明细中要求成交维修企业出示配件进货发票原件进行核查（随机抽选），配件价格不能超过市场价，否则采购人有权取消其中标资格，并按违约处理。</w:t>
      </w:r>
    </w:p>
    <w:p w14:paraId="7BE71E99">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13、具备安阳市范围内应急救援拖车或现场排除故障。</w:t>
      </w:r>
    </w:p>
    <w:p w14:paraId="4E245557">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14、具备24小时外出救援，随叫随到；遇有紧急情况应优先处理。</w:t>
      </w:r>
    </w:p>
    <w:p w14:paraId="7463F16B">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15、维修人员应根据维修车辆的实际情况，出具维修清单，清单中应列明故障问题、维修时长及提车时间。维修清单应一式两份，双方各执一份。</w:t>
      </w:r>
    </w:p>
    <w:p w14:paraId="12D3E5F2">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16、新能源车辆的维修：应符合新能源汽车的维修原理，投标人应具备与维修新能源车辆相匹配的高、低压电工人员，投标人对自身维修人员人身安全负责。合同期限内，维修过程中的任何安全问题均由中标人负责。</w:t>
      </w:r>
    </w:p>
    <w:p w14:paraId="5503B720">
      <w:pPr>
        <w:spacing w:line="560" w:lineRule="exact"/>
        <w:ind w:firstLine="482" w:firstLineChars="200"/>
        <w:rPr>
          <w:rFonts w:ascii="宋体" w:cs="宋体"/>
          <w:b/>
          <w:color w:val="auto"/>
          <w:sz w:val="24"/>
          <w:szCs w:val="24"/>
          <w:highlight w:val="none"/>
        </w:rPr>
      </w:pPr>
      <w:r>
        <w:rPr>
          <w:rFonts w:hint="eastAsia" w:ascii="宋体" w:cs="宋体"/>
          <w:b/>
          <w:color w:val="auto"/>
          <w:sz w:val="24"/>
          <w:szCs w:val="24"/>
          <w:highlight w:val="none"/>
        </w:rPr>
        <w:t>三、其他：</w:t>
      </w:r>
    </w:p>
    <w:p w14:paraId="29F7BFAB">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本次维修车辆数量及相关情况已列明，各投标人应充分考虑维修情况、合理报价，服务期内车辆的维修、更换配件（《谈判文件》列明的消耗配件除外）等均包含在报价中，超过成交报价的部分，采购人将无法另行支付；如成交维修企业根据实际车辆维修数量和内容情况，参照《河南省机动车辆维修工时定额》制订汽车维修工时（如有最新规定，以最新规定为准）要求进行维修，服务期内实际维修金额未达到成交金额的，以实际维修金额为准，进行结算。</w:t>
      </w:r>
    </w:p>
    <w:p w14:paraId="6D32003C">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注：安阳市殷都区公路事业发展中心作业车辆定点维修保养项目的中小企业划分标准所属行业为：其他未列明行业。</w:t>
      </w:r>
    </w:p>
    <w:p w14:paraId="7069FBD8">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提醒：投标人按照采购文件中标明的服务项目的所属行业、按该行业所对应的中小企业划分标准，作为服务的承接商（供应商）是否属于中小企业的判断标准。</w:t>
      </w:r>
    </w:p>
    <w:p w14:paraId="0F2A8874">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投标人不应按照自身的行业属性作为中小企业的判断标准（应按采购文件标明的所属行业进行判断）。</w:t>
      </w:r>
    </w:p>
    <w:p w14:paraId="255C6FBB">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2.5安全</w:t>
      </w:r>
    </w:p>
    <w:p w14:paraId="7118374E">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投标服务（及所涉货物材料设施）应符合国家、行业的各</w:t>
      </w:r>
      <w:r>
        <w:rPr>
          <w:color w:val="auto"/>
          <w:sz w:val="24"/>
          <w:szCs w:val="24"/>
          <w:highlight w:val="none"/>
        </w:rPr>
        <w:t>项</w:t>
      </w:r>
      <w:r>
        <w:rPr>
          <w:rFonts w:hint="eastAsia"/>
          <w:color w:val="auto"/>
          <w:sz w:val="24"/>
          <w:szCs w:val="24"/>
          <w:highlight w:val="none"/>
        </w:rPr>
        <w:t>安全标准，投标人</w:t>
      </w:r>
      <w:r>
        <w:rPr>
          <w:color w:val="auto"/>
          <w:sz w:val="24"/>
          <w:szCs w:val="24"/>
          <w:highlight w:val="none"/>
        </w:rPr>
        <w:t>对</w:t>
      </w:r>
      <w:r>
        <w:rPr>
          <w:rFonts w:hint="eastAsia"/>
          <w:color w:val="auto"/>
          <w:sz w:val="24"/>
          <w:szCs w:val="24"/>
          <w:highlight w:val="none"/>
        </w:rPr>
        <w:t>所投服务（及所涉货物材料设施）的</w:t>
      </w:r>
      <w:r>
        <w:rPr>
          <w:color w:val="auto"/>
          <w:sz w:val="24"/>
          <w:szCs w:val="24"/>
          <w:highlight w:val="none"/>
        </w:rPr>
        <w:t>安全性承担全部责任。</w:t>
      </w:r>
      <w:r>
        <w:rPr>
          <w:rFonts w:hint="eastAsia"/>
          <w:color w:val="auto"/>
          <w:sz w:val="24"/>
          <w:szCs w:val="24"/>
          <w:highlight w:val="none"/>
        </w:rPr>
        <w:t>服务期内不符合保障人身、财产安全的国家标准、行业标准的服务（及所涉货物材料设施），将</w:t>
      </w:r>
      <w:r>
        <w:rPr>
          <w:color w:val="auto"/>
          <w:sz w:val="24"/>
          <w:szCs w:val="24"/>
          <w:highlight w:val="none"/>
        </w:rPr>
        <w:t>依法承担民事及相应刑事责任</w:t>
      </w:r>
      <w:r>
        <w:rPr>
          <w:rFonts w:hint="eastAsia"/>
          <w:color w:val="auto"/>
          <w:sz w:val="24"/>
          <w:szCs w:val="24"/>
          <w:highlight w:val="none"/>
        </w:rPr>
        <w:t>。合</w:t>
      </w:r>
      <w:r>
        <w:rPr>
          <w:color w:val="auto"/>
          <w:sz w:val="24"/>
          <w:szCs w:val="24"/>
          <w:highlight w:val="none"/>
        </w:rPr>
        <w:t>同履行中的安全责任由</w:t>
      </w:r>
      <w:r>
        <w:rPr>
          <w:rFonts w:hint="eastAsia"/>
          <w:color w:val="auto"/>
          <w:sz w:val="24"/>
          <w:szCs w:val="24"/>
          <w:highlight w:val="none"/>
        </w:rPr>
        <w:t>成交供应商</w:t>
      </w:r>
      <w:r>
        <w:rPr>
          <w:color w:val="auto"/>
          <w:sz w:val="24"/>
          <w:szCs w:val="24"/>
          <w:highlight w:val="none"/>
        </w:rPr>
        <w:t>承担全部责任。</w:t>
      </w:r>
    </w:p>
    <w:p w14:paraId="0FABAC68">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6</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投</w:t>
      </w:r>
      <w:r>
        <w:rPr>
          <w:rFonts w:ascii="黑体" w:hAnsi="黑体" w:eastAsia="黑体"/>
          <w:b/>
          <w:color w:val="auto"/>
          <w:sz w:val="24"/>
          <w:szCs w:val="24"/>
          <w:highlight w:val="none"/>
        </w:rPr>
        <w:t>标文件</w:t>
      </w:r>
      <w:r>
        <w:rPr>
          <w:rFonts w:hint="eastAsia" w:ascii="黑体" w:hAnsi="黑体" w:eastAsia="黑体"/>
          <w:b/>
          <w:color w:val="auto"/>
          <w:sz w:val="24"/>
          <w:szCs w:val="24"/>
          <w:highlight w:val="none"/>
        </w:rPr>
        <w:t>对“具体服务要求及标段（包）内容（范围）”的</w:t>
      </w:r>
      <w:r>
        <w:rPr>
          <w:rFonts w:ascii="黑体" w:hAnsi="黑体" w:eastAsia="黑体"/>
          <w:b/>
          <w:color w:val="auto"/>
          <w:sz w:val="24"/>
          <w:szCs w:val="24"/>
          <w:highlight w:val="none"/>
        </w:rPr>
        <w:t>响应</w:t>
      </w:r>
    </w:p>
    <w:p w14:paraId="08751E29">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w:t>
      </w:r>
      <w:r>
        <w:rPr>
          <w:rFonts w:ascii="宋体" w:hAnsi="宋体"/>
          <w:color w:val="auto"/>
          <w:sz w:val="24"/>
          <w:szCs w:val="24"/>
          <w:highlight w:val="none"/>
        </w:rPr>
        <w:t>2.4</w:t>
      </w:r>
      <w:r>
        <w:rPr>
          <w:rFonts w:hint="eastAsia" w:ascii="宋体" w:hAnsi="宋体"/>
          <w:color w:val="auto"/>
          <w:sz w:val="24"/>
          <w:szCs w:val="24"/>
          <w:highlight w:val="none"/>
        </w:rPr>
        <w:t>具体服务要求及标段（包）内容（范围）</w:t>
      </w:r>
      <w:r>
        <w:rPr>
          <w:rFonts w:hint="eastAsia"/>
          <w:color w:val="auto"/>
          <w:sz w:val="24"/>
          <w:szCs w:val="24"/>
          <w:highlight w:val="none"/>
        </w:rPr>
        <w:t>”为采购</w:t>
      </w:r>
      <w:r>
        <w:rPr>
          <w:color w:val="auto"/>
          <w:sz w:val="24"/>
          <w:szCs w:val="24"/>
          <w:highlight w:val="none"/>
        </w:rPr>
        <w:t>需求的</w:t>
      </w:r>
      <w:r>
        <w:rPr>
          <w:rFonts w:hint="eastAsia"/>
          <w:color w:val="auto"/>
          <w:sz w:val="24"/>
          <w:szCs w:val="24"/>
          <w:highlight w:val="none"/>
        </w:rPr>
        <w:t>基础</w:t>
      </w:r>
      <w:r>
        <w:rPr>
          <w:color w:val="auto"/>
          <w:sz w:val="24"/>
          <w:szCs w:val="24"/>
          <w:highlight w:val="none"/>
        </w:rPr>
        <w:t>性</w:t>
      </w:r>
      <w:r>
        <w:rPr>
          <w:rFonts w:hint="eastAsia"/>
          <w:color w:val="auto"/>
          <w:sz w:val="24"/>
          <w:szCs w:val="24"/>
          <w:highlight w:val="none"/>
        </w:rPr>
        <w:t>要求，服务内容</w:t>
      </w:r>
      <w:r>
        <w:rPr>
          <w:color w:val="auto"/>
          <w:sz w:val="24"/>
          <w:szCs w:val="24"/>
          <w:highlight w:val="none"/>
        </w:rPr>
        <w:t>应当明确</w:t>
      </w:r>
      <w:r>
        <w:rPr>
          <w:rFonts w:hint="eastAsia"/>
          <w:color w:val="auto"/>
          <w:sz w:val="24"/>
          <w:szCs w:val="24"/>
          <w:highlight w:val="none"/>
        </w:rPr>
        <w:t>，服务所涉产品及技术参数应当明确并最</w:t>
      </w:r>
      <w:r>
        <w:rPr>
          <w:color w:val="auto"/>
          <w:sz w:val="24"/>
          <w:szCs w:val="24"/>
          <w:highlight w:val="none"/>
        </w:rPr>
        <w:t>终指向具体明确的产</w:t>
      </w:r>
      <w:r>
        <w:rPr>
          <w:rFonts w:hint="eastAsia"/>
          <w:color w:val="auto"/>
          <w:sz w:val="24"/>
          <w:szCs w:val="24"/>
          <w:highlight w:val="none"/>
        </w:rPr>
        <w:t>品。投</w:t>
      </w:r>
      <w:r>
        <w:rPr>
          <w:color w:val="auto"/>
          <w:sz w:val="24"/>
          <w:szCs w:val="24"/>
          <w:highlight w:val="none"/>
        </w:rPr>
        <w:t>标</w:t>
      </w:r>
      <w:r>
        <w:rPr>
          <w:rFonts w:hint="eastAsia"/>
          <w:color w:val="auto"/>
          <w:sz w:val="24"/>
          <w:szCs w:val="24"/>
          <w:highlight w:val="none"/>
        </w:rPr>
        <w:t>文</w:t>
      </w:r>
      <w:r>
        <w:rPr>
          <w:color w:val="auto"/>
          <w:sz w:val="24"/>
          <w:szCs w:val="24"/>
          <w:highlight w:val="none"/>
        </w:rPr>
        <w:t>件</w:t>
      </w:r>
      <w:r>
        <w:rPr>
          <w:rFonts w:hint="eastAsia"/>
          <w:color w:val="auto"/>
          <w:sz w:val="24"/>
          <w:szCs w:val="24"/>
          <w:highlight w:val="none"/>
        </w:rPr>
        <w:t>技术参数抄袭谈判文件“</w:t>
      </w:r>
      <w:r>
        <w:rPr>
          <w:rFonts w:hint="eastAsia" w:ascii="宋体" w:hAnsi="宋体"/>
          <w:color w:val="auto"/>
          <w:sz w:val="24"/>
          <w:szCs w:val="24"/>
          <w:highlight w:val="none"/>
        </w:rPr>
        <w:t>具体服务要求及标段（包）内容（范围）</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明确</w:t>
      </w:r>
      <w:r>
        <w:rPr>
          <w:rFonts w:hint="eastAsia"/>
          <w:color w:val="auto"/>
          <w:sz w:val="24"/>
          <w:szCs w:val="24"/>
          <w:highlight w:val="none"/>
        </w:rPr>
        <w:t>的</w:t>
      </w:r>
      <w:r>
        <w:rPr>
          <w:color w:val="auto"/>
          <w:sz w:val="24"/>
          <w:szCs w:val="24"/>
          <w:highlight w:val="none"/>
        </w:rPr>
        <w:t>、或</w:t>
      </w:r>
      <w:r>
        <w:rPr>
          <w:rFonts w:hint="eastAsia"/>
          <w:color w:val="auto"/>
          <w:sz w:val="24"/>
          <w:szCs w:val="24"/>
          <w:highlight w:val="none"/>
        </w:rPr>
        <w:t>与投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一致</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谈判小组有权按照实质性判断原则评定其为无效投标。</w:t>
      </w:r>
    </w:p>
    <w:p w14:paraId="1271FAD9">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7技术偏离</w:t>
      </w:r>
    </w:p>
    <w:p w14:paraId="532BBD44">
      <w:pPr>
        <w:widowControl w:val="0"/>
        <w:adjustRightInd w:val="0"/>
        <w:snapToGrid w:val="0"/>
        <w:spacing w:before="156" w:beforeLines="50" w:line="300" w:lineRule="auto"/>
        <w:ind w:firstLine="540"/>
        <w:rPr>
          <w:rFonts w:ascii="宋体" w:hAnsi="宋体"/>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1★</w:t>
      </w:r>
      <w:r>
        <w:rPr>
          <w:rFonts w:hint="eastAsia" w:ascii="宋体" w:hAnsi="宋体"/>
          <w:color w:val="auto"/>
          <w:sz w:val="24"/>
          <w:szCs w:val="24"/>
          <w:highlight w:val="none"/>
        </w:rPr>
        <w:t>服务所涉货物材料设施的</w:t>
      </w:r>
      <w:r>
        <w:rPr>
          <w:rFonts w:hint="eastAsia" w:ascii="黑体" w:hAnsi="黑体" w:eastAsia="黑体"/>
          <w:b/>
          <w:color w:val="auto"/>
          <w:sz w:val="24"/>
          <w:szCs w:val="24"/>
          <w:highlight w:val="none"/>
        </w:rPr>
        <w:t>不接受负偏差，低于“具体服务要求”的、为无效投标。</w:t>
      </w:r>
    </w:p>
    <w:p w14:paraId="0560F5DA">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2 除服务所涉货物材料设施的</w:t>
      </w:r>
      <w:r>
        <w:rPr>
          <w:rFonts w:hint="eastAsia" w:ascii="黑体" w:hAnsi="黑体" w:eastAsia="黑体"/>
          <w:b/>
          <w:color w:val="auto"/>
          <w:sz w:val="24"/>
          <w:szCs w:val="24"/>
          <w:highlight w:val="none"/>
        </w:rPr>
        <w:t>技术偏离外，其他内容不接受负偏差</w:t>
      </w:r>
    </w:p>
    <w:p w14:paraId="71C37F76">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3投标文件对技术偏差的描述要求：见第三章投标人须知</w:t>
      </w:r>
      <w:r>
        <w:rPr>
          <w:color w:val="auto"/>
          <w:sz w:val="24"/>
          <w:szCs w:val="24"/>
          <w:highlight w:val="none"/>
        </w:rPr>
        <w:t>3.7.3</w:t>
      </w:r>
      <w:r>
        <w:rPr>
          <w:rFonts w:hint="eastAsia"/>
          <w:color w:val="auto"/>
          <w:sz w:val="24"/>
          <w:szCs w:val="24"/>
          <w:highlight w:val="none"/>
        </w:rPr>
        <w:t>项。</w:t>
      </w:r>
    </w:p>
    <w:p w14:paraId="5908DE94">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8</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合同履行期限后、服务项目所涉货物的售后服务</w:t>
      </w:r>
    </w:p>
    <w:p w14:paraId="19DD5BED">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无特殊要求，服务要求中已作要求的从其要求。</w:t>
      </w:r>
    </w:p>
    <w:p w14:paraId="2E78C7F5">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9保险、所涉货物包装</w:t>
      </w:r>
    </w:p>
    <w:p w14:paraId="07A82B50">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2.9.1保险（如需）：</w:t>
      </w:r>
    </w:p>
    <w:p w14:paraId="243CD51F">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投标人应遵循国家相关保险的规定，依照法规规定，根据项目属性需要，办理货物设施等的财产保险、危险作业人员的工伤和意外伤害保险、设计和工程保险、第三方责任险，相关保险费用及相应责任由成交人承担。</w:t>
      </w:r>
    </w:p>
    <w:p w14:paraId="52930124">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2.9.2所涉货物包装：</w:t>
      </w:r>
    </w:p>
    <w:p w14:paraId="2A47F2B4">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成交人负责按国家相关标准进行货物包装，设备的包装均应有良好的防湿、防锈、防潮、防雨、防腐及防碰撞的措施，凡由于包装不良造成的损失和由此产生的费用均由成交人承担。</w:t>
      </w:r>
    </w:p>
    <w:p w14:paraId="657952AF">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10</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采购标的的验收标准</w:t>
      </w:r>
    </w:p>
    <w:p w14:paraId="17B8A3B4">
      <w:pPr>
        <w:adjustRightInd w:val="0"/>
        <w:snapToGrid w:val="0"/>
        <w:spacing w:line="300" w:lineRule="auto"/>
        <w:ind w:firstLine="564" w:firstLineChars="235"/>
        <w:jc w:val="left"/>
        <w:rPr>
          <w:rFonts w:ascii="黑体" w:hAnsi="黑体" w:eastAsia="黑体"/>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第</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条“验收”条款。</w:t>
      </w:r>
    </w:p>
    <w:p w14:paraId="654D7225">
      <w:pPr>
        <w:adjustRightInd w:val="0"/>
        <w:snapToGrid w:val="0"/>
        <w:spacing w:before="156" w:beforeLines="50" w:line="300" w:lineRule="auto"/>
        <w:ind w:firstLine="566" w:firstLineChars="235"/>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11采购标的的其他技术、服务等要求</w:t>
      </w:r>
    </w:p>
    <w:p w14:paraId="0BB32D91">
      <w:pPr>
        <w:adjustRightInd w:val="0"/>
        <w:snapToGrid w:val="0"/>
        <w:spacing w:before="156" w:beforeLines="50" w:line="300" w:lineRule="auto"/>
        <w:rPr>
          <w:rFonts w:ascii="黑体" w:hAnsi="黑体" w:eastAsia="黑体"/>
          <w:b/>
          <w:color w:val="auto"/>
          <w:sz w:val="24"/>
          <w:szCs w:val="24"/>
          <w:highlight w:val="none"/>
        </w:rPr>
      </w:pPr>
      <w:r>
        <w:rPr>
          <w:rFonts w:hint="eastAsia" w:ascii="黑体" w:hAnsi="黑体" w:eastAsia="黑体"/>
          <w:b/>
          <w:color w:val="auto"/>
          <w:sz w:val="24"/>
          <w:szCs w:val="24"/>
          <w:highlight w:val="none"/>
        </w:rPr>
        <w:t xml:space="preserve">       </w:t>
      </w:r>
      <w:r>
        <w:rPr>
          <w:rFonts w:hint="eastAsia"/>
          <w:color w:val="auto"/>
          <w:sz w:val="24"/>
          <w:szCs w:val="24"/>
          <w:highlight w:val="none"/>
        </w:rPr>
        <w:t>无</w:t>
      </w:r>
    </w:p>
    <w:p w14:paraId="50DA909C">
      <w:pPr>
        <w:adjustRightInd w:val="0"/>
        <w:snapToGrid w:val="0"/>
        <w:spacing w:before="156" w:beforeLines="50" w:line="300" w:lineRule="auto"/>
        <w:rPr>
          <w:rFonts w:ascii="黑体" w:hAnsi="黑体" w:eastAsia="黑体"/>
          <w:b/>
          <w:color w:val="auto"/>
          <w:sz w:val="24"/>
          <w:szCs w:val="24"/>
          <w:highlight w:val="none"/>
        </w:rPr>
      </w:pPr>
    </w:p>
    <w:p w14:paraId="722DD189">
      <w:pPr>
        <w:adjustRightInd w:val="0"/>
        <w:snapToGrid w:val="0"/>
        <w:spacing w:before="156" w:beforeLines="50" w:line="300" w:lineRule="auto"/>
        <w:ind w:firstLine="562" w:firstLineChars="200"/>
        <w:outlineLvl w:val="1"/>
        <w:rPr>
          <w:rFonts w:ascii="黑体" w:hAnsi="黑体" w:eastAsia="黑体"/>
          <w:b/>
          <w:color w:val="auto"/>
          <w:sz w:val="28"/>
          <w:highlight w:val="none"/>
        </w:rPr>
      </w:pPr>
      <w:bookmarkStart w:id="16" w:name="_Toc65676676"/>
      <w:bookmarkStart w:id="17" w:name="_Toc206599119"/>
      <w:r>
        <w:rPr>
          <w:rFonts w:hint="eastAsia" w:ascii="黑体" w:hAnsi="黑体" w:eastAsia="黑体"/>
          <w:b/>
          <w:color w:val="auto"/>
          <w:sz w:val="28"/>
          <w:highlight w:val="none"/>
        </w:rPr>
        <w:t>3</w:t>
      </w:r>
      <w:r>
        <w:rPr>
          <w:rFonts w:ascii="黑体" w:hAnsi="黑体" w:eastAsia="黑体"/>
          <w:b/>
          <w:color w:val="auto"/>
          <w:sz w:val="28"/>
          <w:highlight w:val="none"/>
        </w:rPr>
        <w:t xml:space="preserve">. </w:t>
      </w:r>
      <w:r>
        <w:rPr>
          <w:rFonts w:hint="eastAsia" w:ascii="黑体" w:hAnsi="黑体" w:eastAsia="黑体"/>
          <w:b/>
          <w:color w:val="auto"/>
          <w:sz w:val="28"/>
          <w:highlight w:val="none"/>
        </w:rPr>
        <w:t>项目其他要求</w:t>
      </w:r>
      <w:bookmarkEnd w:id="16"/>
      <w:bookmarkEnd w:id="17"/>
    </w:p>
    <w:p w14:paraId="14CE1F8F">
      <w:pPr>
        <w:spacing w:line="560" w:lineRule="exact"/>
        <w:ind w:firstLine="480" w:firstLineChars="200"/>
        <w:rPr>
          <w:rFonts w:eastAsia="黑体"/>
          <w:b/>
          <w:color w:val="auto"/>
          <w:spacing w:val="36"/>
          <w:sz w:val="36"/>
          <w:szCs w:val="36"/>
          <w:highlight w:val="none"/>
        </w:rPr>
      </w:pPr>
      <w:r>
        <w:rPr>
          <w:rFonts w:hint="eastAsia"/>
          <w:color w:val="auto"/>
          <w:sz w:val="24"/>
          <w:szCs w:val="24"/>
          <w:highlight w:val="none"/>
        </w:rPr>
        <w:t>无</w:t>
      </w:r>
      <w:r>
        <w:rPr>
          <w:rFonts w:ascii="黑体" w:hAnsi="黑体" w:eastAsia="黑体"/>
          <w:b/>
          <w:color w:val="auto"/>
          <w:sz w:val="24"/>
          <w:szCs w:val="24"/>
          <w:highlight w:val="none"/>
        </w:rPr>
        <w:br w:type="page"/>
      </w:r>
    </w:p>
    <w:p w14:paraId="3532DD44">
      <w:pPr>
        <w:spacing w:line="360" w:lineRule="auto"/>
        <w:ind w:right="238"/>
        <w:jc w:val="center"/>
        <w:outlineLvl w:val="0"/>
        <w:rPr>
          <w:rFonts w:eastAsia="黑体"/>
          <w:b/>
          <w:color w:val="auto"/>
          <w:sz w:val="36"/>
          <w:szCs w:val="36"/>
          <w:highlight w:val="none"/>
        </w:rPr>
      </w:pPr>
      <w:bookmarkStart w:id="18" w:name="_Toc206599120"/>
      <w:r>
        <w:rPr>
          <w:rFonts w:hint="eastAsia" w:eastAsia="黑体"/>
          <w:b/>
          <w:color w:val="auto"/>
          <w:sz w:val="36"/>
          <w:szCs w:val="36"/>
          <w:highlight w:val="none"/>
        </w:rPr>
        <w:t>第三章 投标人须知</w:t>
      </w:r>
      <w:bookmarkEnd w:id="18"/>
    </w:p>
    <w:p w14:paraId="6CA8A929">
      <w:pPr>
        <w:spacing w:line="360" w:lineRule="auto"/>
        <w:ind w:right="238"/>
        <w:jc w:val="left"/>
        <w:outlineLvl w:val="1"/>
        <w:rPr>
          <w:rFonts w:eastAsia="黑体"/>
          <w:b/>
          <w:color w:val="auto"/>
          <w:sz w:val="28"/>
          <w:szCs w:val="28"/>
          <w:highlight w:val="none"/>
        </w:rPr>
      </w:pPr>
      <w:bookmarkStart w:id="19" w:name="_Toc206599121"/>
      <w:r>
        <w:rPr>
          <w:rFonts w:hint="eastAsia" w:eastAsia="黑体"/>
          <w:b/>
          <w:color w:val="auto"/>
          <w:sz w:val="28"/>
          <w:szCs w:val="28"/>
          <w:highlight w:val="none"/>
        </w:rPr>
        <w:t>投标人须知前附表</w:t>
      </w:r>
      <w:bookmarkEnd w:id="19"/>
    </w:p>
    <w:tbl>
      <w:tblPr>
        <w:tblStyle w:val="15"/>
        <w:tblW w:w="9755" w:type="dxa"/>
        <w:jc w:val="center"/>
        <w:tblLayout w:type="fixed"/>
        <w:tblCellMar>
          <w:top w:w="0" w:type="dxa"/>
          <w:left w:w="108" w:type="dxa"/>
          <w:bottom w:w="0" w:type="dxa"/>
          <w:right w:w="108" w:type="dxa"/>
        </w:tblCellMar>
      </w:tblPr>
      <w:tblGrid>
        <w:gridCol w:w="608"/>
        <w:gridCol w:w="694"/>
        <w:gridCol w:w="1874"/>
        <w:gridCol w:w="6579"/>
      </w:tblGrid>
      <w:tr w14:paraId="41BE743E">
        <w:trPr>
          <w:trHeight w:val="571" w:hRule="atLeast"/>
          <w:jc w:val="center"/>
        </w:trPr>
        <w:tc>
          <w:tcPr>
            <w:tcW w:w="608" w:type="dxa"/>
            <w:tcBorders>
              <w:top w:val="single" w:color="auto" w:sz="12" w:space="0"/>
              <w:left w:val="single" w:color="auto" w:sz="12" w:space="0"/>
              <w:bottom w:val="single" w:color="auto" w:sz="6" w:space="0"/>
              <w:right w:val="single" w:color="auto" w:sz="6" w:space="0"/>
            </w:tcBorders>
          </w:tcPr>
          <w:p w14:paraId="49D420E5">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694" w:type="dxa"/>
            <w:tcBorders>
              <w:top w:val="single" w:color="auto" w:sz="12" w:space="0"/>
              <w:left w:val="single" w:color="auto" w:sz="12" w:space="0"/>
              <w:bottom w:val="single" w:color="auto" w:sz="6" w:space="0"/>
              <w:right w:val="single" w:color="auto" w:sz="6" w:space="0"/>
            </w:tcBorders>
            <w:vAlign w:val="center"/>
          </w:tcPr>
          <w:p w14:paraId="7EA0E976">
            <w:pPr>
              <w:autoSpaceDE w:val="0"/>
              <w:autoSpaceDN w:val="0"/>
              <w:adjustRightInd w:val="0"/>
              <w:spacing w:line="240" w:lineRule="auto"/>
              <w:ind w:right="-126" w:rightChars="-60"/>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1874" w:type="dxa"/>
            <w:tcBorders>
              <w:top w:val="single" w:color="auto" w:sz="12" w:space="0"/>
              <w:left w:val="single" w:color="auto" w:sz="6" w:space="0"/>
              <w:bottom w:val="single" w:color="auto" w:sz="6" w:space="0"/>
              <w:right w:val="single" w:color="auto" w:sz="6" w:space="0"/>
            </w:tcBorders>
            <w:vAlign w:val="center"/>
          </w:tcPr>
          <w:p w14:paraId="20ED452C">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579" w:type="dxa"/>
            <w:tcBorders>
              <w:top w:val="single" w:color="auto" w:sz="12" w:space="0"/>
              <w:left w:val="single" w:color="auto" w:sz="6" w:space="0"/>
              <w:bottom w:val="single" w:color="auto" w:sz="6" w:space="0"/>
              <w:right w:val="single" w:color="auto" w:sz="12" w:space="0"/>
            </w:tcBorders>
            <w:vAlign w:val="center"/>
          </w:tcPr>
          <w:p w14:paraId="5EC1D224">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14:paraId="143147D2">
        <w:tblPrEx>
          <w:tblCellMar>
            <w:top w:w="0" w:type="dxa"/>
            <w:left w:w="108" w:type="dxa"/>
            <w:bottom w:w="0" w:type="dxa"/>
            <w:right w:w="108" w:type="dxa"/>
          </w:tblCellMar>
        </w:tblPrEx>
        <w:trPr>
          <w:trHeight w:val="649" w:hRule="atLeast"/>
          <w:jc w:val="center"/>
        </w:trPr>
        <w:tc>
          <w:tcPr>
            <w:tcW w:w="608" w:type="dxa"/>
            <w:vMerge w:val="restart"/>
            <w:tcBorders>
              <w:top w:val="single" w:color="auto" w:sz="6" w:space="0"/>
              <w:left w:val="single" w:color="auto" w:sz="12" w:space="0"/>
              <w:right w:val="single" w:color="auto" w:sz="6" w:space="0"/>
            </w:tcBorders>
            <w:vAlign w:val="center"/>
          </w:tcPr>
          <w:p w14:paraId="505EE3D7">
            <w:pPr>
              <w:autoSpaceDE w:val="0"/>
              <w:autoSpaceDN w:val="0"/>
              <w:adjustRightInd w:val="0"/>
              <w:snapToGrid w:val="0"/>
              <w:spacing w:line="240" w:lineRule="auto"/>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694" w:type="dxa"/>
            <w:tcBorders>
              <w:top w:val="single" w:color="auto" w:sz="6" w:space="0"/>
              <w:left w:val="single" w:color="auto" w:sz="12" w:space="0"/>
              <w:bottom w:val="single" w:color="auto" w:sz="6" w:space="0"/>
              <w:right w:val="single" w:color="auto" w:sz="6" w:space="0"/>
            </w:tcBorders>
            <w:vAlign w:val="center"/>
          </w:tcPr>
          <w:p w14:paraId="4A327451">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1874" w:type="dxa"/>
            <w:tcBorders>
              <w:top w:val="single" w:color="auto" w:sz="6" w:space="0"/>
              <w:left w:val="single" w:color="auto" w:sz="6" w:space="0"/>
              <w:bottom w:val="single" w:color="auto" w:sz="6" w:space="0"/>
              <w:right w:val="single" w:color="auto" w:sz="6" w:space="0"/>
            </w:tcBorders>
            <w:vAlign w:val="center"/>
          </w:tcPr>
          <w:p w14:paraId="48D93F75">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采购项目名称</w:t>
            </w:r>
          </w:p>
        </w:tc>
        <w:tc>
          <w:tcPr>
            <w:tcW w:w="6579" w:type="dxa"/>
            <w:tcBorders>
              <w:top w:val="single" w:color="auto" w:sz="6" w:space="0"/>
              <w:left w:val="single" w:color="auto" w:sz="6" w:space="0"/>
              <w:bottom w:val="single" w:color="auto" w:sz="6" w:space="0"/>
              <w:right w:val="single" w:color="auto" w:sz="12" w:space="0"/>
            </w:tcBorders>
            <w:vAlign w:val="center"/>
          </w:tcPr>
          <w:p w14:paraId="11AB93C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见“第一章谈判公告”相应条款</w:t>
            </w:r>
          </w:p>
        </w:tc>
      </w:tr>
      <w:tr w14:paraId="46D1A7EE">
        <w:tblPrEx>
          <w:tblCellMar>
            <w:top w:w="0" w:type="dxa"/>
            <w:left w:w="108" w:type="dxa"/>
            <w:bottom w:w="0" w:type="dxa"/>
            <w:right w:w="108" w:type="dxa"/>
          </w:tblCellMar>
        </w:tblPrEx>
        <w:trPr>
          <w:trHeight w:val="531" w:hRule="atLeast"/>
          <w:jc w:val="center"/>
        </w:trPr>
        <w:tc>
          <w:tcPr>
            <w:tcW w:w="608" w:type="dxa"/>
            <w:vMerge w:val="continue"/>
            <w:tcBorders>
              <w:top w:val="single" w:color="auto" w:sz="6" w:space="0"/>
              <w:left w:val="single" w:color="auto" w:sz="12" w:space="0"/>
              <w:right w:val="single" w:color="auto" w:sz="6" w:space="0"/>
            </w:tcBorders>
            <w:vAlign w:val="center"/>
          </w:tcPr>
          <w:p w14:paraId="48F4B2FB">
            <w:pPr>
              <w:autoSpaceDE w:val="0"/>
              <w:autoSpaceDN w:val="0"/>
              <w:adjustRightInd w:val="0"/>
              <w:snapToGrid w:val="0"/>
              <w:spacing w:line="24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0CB90CB8">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1874" w:type="dxa"/>
            <w:tcBorders>
              <w:top w:val="single" w:color="auto" w:sz="6" w:space="0"/>
              <w:left w:val="single" w:color="auto" w:sz="6" w:space="0"/>
              <w:bottom w:val="single" w:color="auto" w:sz="6" w:space="0"/>
              <w:right w:val="single" w:color="auto" w:sz="6" w:space="0"/>
            </w:tcBorders>
            <w:vAlign w:val="center"/>
          </w:tcPr>
          <w:p w14:paraId="569D492C">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项目编号</w:t>
            </w:r>
          </w:p>
        </w:tc>
        <w:tc>
          <w:tcPr>
            <w:tcW w:w="6579" w:type="dxa"/>
            <w:tcBorders>
              <w:top w:val="single" w:color="auto" w:sz="6" w:space="0"/>
              <w:left w:val="single" w:color="auto" w:sz="6" w:space="0"/>
              <w:bottom w:val="single" w:color="auto" w:sz="6" w:space="0"/>
              <w:right w:val="single" w:color="auto" w:sz="12" w:space="0"/>
            </w:tcBorders>
            <w:vAlign w:val="center"/>
          </w:tcPr>
          <w:p w14:paraId="209D715F">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见“第一章谈判公告”相应条款</w:t>
            </w:r>
          </w:p>
        </w:tc>
      </w:tr>
      <w:tr w14:paraId="40D50DF9">
        <w:tblPrEx>
          <w:tblCellMar>
            <w:top w:w="0" w:type="dxa"/>
            <w:left w:w="108" w:type="dxa"/>
            <w:bottom w:w="0" w:type="dxa"/>
            <w:right w:w="108" w:type="dxa"/>
          </w:tblCellMar>
        </w:tblPrEx>
        <w:trPr>
          <w:trHeight w:val="567" w:hRule="atLeast"/>
          <w:jc w:val="center"/>
        </w:trPr>
        <w:tc>
          <w:tcPr>
            <w:tcW w:w="608" w:type="dxa"/>
            <w:vMerge w:val="continue"/>
            <w:tcBorders>
              <w:top w:val="single" w:color="auto" w:sz="6" w:space="0"/>
              <w:left w:val="single" w:color="auto" w:sz="12" w:space="0"/>
              <w:right w:val="single" w:color="auto" w:sz="6" w:space="0"/>
            </w:tcBorders>
            <w:vAlign w:val="center"/>
          </w:tcPr>
          <w:p w14:paraId="3D96C5D0">
            <w:pPr>
              <w:autoSpaceDE w:val="0"/>
              <w:autoSpaceDN w:val="0"/>
              <w:adjustRightInd w:val="0"/>
              <w:snapToGrid w:val="0"/>
              <w:spacing w:line="24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465A7E3A">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1.3</w:t>
            </w:r>
          </w:p>
        </w:tc>
        <w:tc>
          <w:tcPr>
            <w:tcW w:w="1874" w:type="dxa"/>
            <w:tcBorders>
              <w:top w:val="single" w:color="auto" w:sz="6" w:space="0"/>
              <w:left w:val="single" w:color="auto" w:sz="6" w:space="0"/>
              <w:bottom w:val="single" w:color="auto" w:sz="6" w:space="0"/>
              <w:right w:val="single" w:color="auto" w:sz="6" w:space="0"/>
            </w:tcBorders>
            <w:vAlign w:val="center"/>
          </w:tcPr>
          <w:p w14:paraId="0AD3836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579" w:type="dxa"/>
            <w:tcBorders>
              <w:top w:val="single" w:color="auto" w:sz="6" w:space="0"/>
              <w:left w:val="single" w:color="auto" w:sz="6" w:space="0"/>
              <w:bottom w:val="single" w:color="auto" w:sz="6" w:space="0"/>
              <w:right w:val="single" w:color="auto" w:sz="12" w:space="0"/>
            </w:tcBorders>
            <w:vAlign w:val="center"/>
          </w:tcPr>
          <w:p w14:paraId="62EBA0C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见“第一章谈判公告”相应条款</w:t>
            </w:r>
          </w:p>
        </w:tc>
      </w:tr>
      <w:tr w14:paraId="198348FC">
        <w:tblPrEx>
          <w:tblCellMar>
            <w:top w:w="0" w:type="dxa"/>
            <w:left w:w="108" w:type="dxa"/>
            <w:bottom w:w="0" w:type="dxa"/>
            <w:right w:w="108" w:type="dxa"/>
          </w:tblCellMar>
        </w:tblPrEx>
        <w:trPr>
          <w:trHeight w:val="370" w:hRule="atLeast"/>
          <w:jc w:val="center"/>
        </w:trPr>
        <w:tc>
          <w:tcPr>
            <w:tcW w:w="608" w:type="dxa"/>
            <w:vMerge w:val="continue"/>
            <w:tcBorders>
              <w:left w:val="single" w:color="auto" w:sz="12" w:space="0"/>
              <w:right w:val="single" w:color="auto" w:sz="6" w:space="0"/>
            </w:tcBorders>
          </w:tcPr>
          <w:p w14:paraId="5DF72762">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1598609C">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1874" w:type="dxa"/>
            <w:tcBorders>
              <w:top w:val="single" w:color="auto" w:sz="6" w:space="0"/>
              <w:left w:val="single" w:color="auto" w:sz="6" w:space="0"/>
              <w:bottom w:val="single" w:color="auto" w:sz="6" w:space="0"/>
              <w:right w:val="single" w:color="auto" w:sz="6" w:space="0"/>
            </w:tcBorders>
            <w:vAlign w:val="center"/>
          </w:tcPr>
          <w:p w14:paraId="06BB2F1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预算金额</w:t>
            </w:r>
          </w:p>
        </w:tc>
        <w:tc>
          <w:tcPr>
            <w:tcW w:w="6579" w:type="dxa"/>
            <w:tcBorders>
              <w:top w:val="single" w:color="auto" w:sz="6" w:space="0"/>
              <w:left w:val="single" w:color="auto" w:sz="6" w:space="0"/>
              <w:bottom w:val="single" w:color="auto" w:sz="6" w:space="0"/>
              <w:right w:val="single" w:color="auto" w:sz="12" w:space="0"/>
            </w:tcBorders>
            <w:vAlign w:val="center"/>
          </w:tcPr>
          <w:p w14:paraId="7B31C5C4">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见“第一章谈判公告”相应条款。</w:t>
            </w:r>
            <w:r>
              <w:rPr>
                <w:rFonts w:hint="eastAsia" w:ascii="宋体" w:hAnsi="宋体" w:cs="楷体_GB2312"/>
                <w:b/>
                <w:color w:val="auto"/>
                <w:sz w:val="24"/>
                <w:highlight w:val="none"/>
                <w:lang w:val="zh-CN"/>
              </w:rPr>
              <w:t>注：投标人的投标报价未超过预算金额的不足三家时，该项目（标段&lt;包&gt;）终止。</w:t>
            </w:r>
          </w:p>
        </w:tc>
      </w:tr>
      <w:tr w14:paraId="157A1F6C">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350CA3F0">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5AD3D950">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14:paraId="53CB078A">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申请人的资格要求及相关证明材料要求</w:t>
            </w:r>
          </w:p>
        </w:tc>
        <w:tc>
          <w:tcPr>
            <w:tcW w:w="6579" w:type="dxa"/>
            <w:tcBorders>
              <w:top w:val="single" w:color="auto" w:sz="6" w:space="0"/>
              <w:left w:val="single" w:color="auto" w:sz="6" w:space="0"/>
              <w:bottom w:val="single" w:color="auto" w:sz="6" w:space="0"/>
              <w:right w:val="single" w:color="auto" w:sz="12" w:space="0"/>
            </w:tcBorders>
            <w:vAlign w:val="center"/>
          </w:tcPr>
          <w:p w14:paraId="5A7FC702">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见“第一章谈判公告”相应条款</w:t>
            </w:r>
          </w:p>
        </w:tc>
      </w:tr>
      <w:tr w14:paraId="3041E876">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363FCFA6">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1F5228BE">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1874" w:type="dxa"/>
            <w:tcBorders>
              <w:top w:val="single" w:color="auto" w:sz="6" w:space="0"/>
              <w:left w:val="single" w:color="auto" w:sz="6" w:space="0"/>
              <w:bottom w:val="single" w:color="auto" w:sz="6" w:space="0"/>
              <w:right w:val="single" w:color="auto" w:sz="6" w:space="0"/>
            </w:tcBorders>
            <w:vAlign w:val="center"/>
          </w:tcPr>
          <w:p w14:paraId="7B138011">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采购人</w:t>
            </w:r>
          </w:p>
        </w:tc>
        <w:tc>
          <w:tcPr>
            <w:tcW w:w="6579" w:type="dxa"/>
            <w:tcBorders>
              <w:top w:val="single" w:color="auto" w:sz="6" w:space="0"/>
              <w:left w:val="single" w:color="auto" w:sz="6" w:space="0"/>
              <w:bottom w:val="single" w:color="auto" w:sz="6" w:space="0"/>
              <w:right w:val="single" w:color="auto" w:sz="12" w:space="0"/>
            </w:tcBorders>
            <w:vAlign w:val="center"/>
          </w:tcPr>
          <w:p w14:paraId="6DD998C6">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见“第一章谈判公告”相应条款</w:t>
            </w:r>
          </w:p>
        </w:tc>
      </w:tr>
      <w:tr w14:paraId="4A1A7A96">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bottom w:val="single" w:color="auto" w:sz="6" w:space="0"/>
              <w:right w:val="single" w:color="auto" w:sz="6" w:space="0"/>
            </w:tcBorders>
          </w:tcPr>
          <w:p w14:paraId="5D2E3CD0">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3C642784">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1874" w:type="dxa"/>
            <w:tcBorders>
              <w:top w:val="single" w:color="auto" w:sz="6" w:space="0"/>
              <w:left w:val="single" w:color="auto" w:sz="6" w:space="0"/>
              <w:bottom w:val="single" w:color="auto" w:sz="6" w:space="0"/>
              <w:right w:val="single" w:color="auto" w:sz="6" w:space="0"/>
            </w:tcBorders>
            <w:vAlign w:val="center"/>
          </w:tcPr>
          <w:p w14:paraId="3A1F13B4">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采购代理机构</w:t>
            </w:r>
          </w:p>
        </w:tc>
        <w:tc>
          <w:tcPr>
            <w:tcW w:w="6579" w:type="dxa"/>
            <w:tcBorders>
              <w:top w:val="single" w:color="auto" w:sz="6" w:space="0"/>
              <w:left w:val="single" w:color="auto" w:sz="6" w:space="0"/>
              <w:bottom w:val="single" w:color="auto" w:sz="6" w:space="0"/>
              <w:right w:val="single" w:color="auto" w:sz="12" w:space="0"/>
            </w:tcBorders>
            <w:vAlign w:val="center"/>
          </w:tcPr>
          <w:p w14:paraId="615938FB">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见“第一章谈判公告”相应条款</w:t>
            </w:r>
          </w:p>
        </w:tc>
      </w:tr>
      <w:tr w14:paraId="60EAA451">
        <w:tblPrEx>
          <w:tblCellMar>
            <w:top w:w="0" w:type="dxa"/>
            <w:left w:w="108" w:type="dxa"/>
            <w:bottom w:w="0" w:type="dxa"/>
            <w:right w:w="108" w:type="dxa"/>
          </w:tblCellMar>
        </w:tblPrEx>
        <w:trPr>
          <w:trHeight w:val="90" w:hRule="atLeast"/>
          <w:jc w:val="center"/>
        </w:trPr>
        <w:tc>
          <w:tcPr>
            <w:tcW w:w="608" w:type="dxa"/>
            <w:vMerge w:val="restart"/>
            <w:tcBorders>
              <w:top w:val="single" w:color="auto" w:sz="6" w:space="0"/>
              <w:left w:val="single" w:color="auto" w:sz="12" w:space="0"/>
              <w:right w:val="single" w:color="auto" w:sz="6" w:space="0"/>
            </w:tcBorders>
            <w:vAlign w:val="center"/>
          </w:tcPr>
          <w:p w14:paraId="0D5CAEDD">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694" w:type="dxa"/>
            <w:tcBorders>
              <w:top w:val="single" w:color="auto" w:sz="6" w:space="0"/>
              <w:left w:val="single" w:color="auto" w:sz="12" w:space="0"/>
              <w:bottom w:val="single" w:color="auto" w:sz="6" w:space="0"/>
              <w:right w:val="single" w:color="auto" w:sz="6" w:space="0"/>
            </w:tcBorders>
            <w:vAlign w:val="center"/>
          </w:tcPr>
          <w:p w14:paraId="23948062">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14:paraId="2567C4A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标段（包）划分</w:t>
            </w:r>
          </w:p>
        </w:tc>
        <w:tc>
          <w:tcPr>
            <w:tcW w:w="6579" w:type="dxa"/>
            <w:tcBorders>
              <w:top w:val="single" w:color="auto" w:sz="6" w:space="0"/>
              <w:left w:val="single" w:color="auto" w:sz="6" w:space="0"/>
              <w:bottom w:val="single" w:color="auto" w:sz="6" w:space="0"/>
              <w:right w:val="single" w:color="auto" w:sz="12" w:space="0"/>
            </w:tcBorders>
            <w:vAlign w:val="center"/>
          </w:tcPr>
          <w:p w14:paraId="6065FEE9">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见“第二章采购项目及服务要求”相应条款</w:t>
            </w:r>
          </w:p>
        </w:tc>
      </w:tr>
      <w:tr w14:paraId="37EF669B">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1C2B1375">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78B7B039">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14:paraId="527775E4">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rPr>
              <w:t>服务期</w:t>
            </w:r>
          </w:p>
        </w:tc>
        <w:tc>
          <w:tcPr>
            <w:tcW w:w="6579" w:type="dxa"/>
            <w:tcBorders>
              <w:top w:val="single" w:color="auto" w:sz="6" w:space="0"/>
              <w:left w:val="single" w:color="auto" w:sz="6" w:space="0"/>
              <w:bottom w:val="single" w:color="auto" w:sz="6" w:space="0"/>
              <w:right w:val="single" w:color="auto" w:sz="12" w:space="0"/>
            </w:tcBorders>
            <w:vAlign w:val="center"/>
          </w:tcPr>
          <w:p w14:paraId="7398DB9F">
            <w:pPr>
              <w:autoSpaceDE w:val="0"/>
              <w:autoSpaceDN w:val="0"/>
              <w:adjustRightInd w:val="0"/>
              <w:snapToGrid w:val="0"/>
              <w:spacing w:before="156" w:beforeLines="50" w:line="240" w:lineRule="auto"/>
              <w:rPr>
                <w:rFonts w:ascii="宋体" w:cs="楷体_GB2312"/>
                <w:bCs/>
                <w:color w:val="auto"/>
                <w:sz w:val="24"/>
                <w:highlight w:val="none"/>
                <w:lang w:val="zh-CN"/>
              </w:rPr>
            </w:pPr>
            <w:r>
              <w:rPr>
                <w:rFonts w:hint="eastAsia" w:ascii="宋体" w:hAnsi="宋体"/>
                <w:color w:val="auto"/>
                <w:sz w:val="24"/>
                <w:highlight w:val="none"/>
              </w:rPr>
              <w:t>见“第二部分采购项目及服务要求”</w:t>
            </w:r>
            <w:r>
              <w:rPr>
                <w:rFonts w:hint="eastAsia"/>
                <w:color w:val="auto"/>
                <w:sz w:val="24"/>
                <w:szCs w:val="24"/>
                <w:highlight w:val="none"/>
              </w:rPr>
              <w:t>相应条款</w:t>
            </w:r>
          </w:p>
        </w:tc>
      </w:tr>
      <w:tr w14:paraId="14D84F84">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11675F7C">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55959E47">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14:paraId="67BC48E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服务地</w:t>
            </w:r>
          </w:p>
        </w:tc>
        <w:tc>
          <w:tcPr>
            <w:tcW w:w="6579" w:type="dxa"/>
            <w:tcBorders>
              <w:top w:val="single" w:color="auto" w:sz="6" w:space="0"/>
              <w:left w:val="single" w:color="auto" w:sz="6" w:space="0"/>
              <w:bottom w:val="single" w:color="auto" w:sz="6" w:space="0"/>
              <w:right w:val="single" w:color="auto" w:sz="12" w:space="0"/>
            </w:tcBorders>
            <w:vAlign w:val="center"/>
          </w:tcPr>
          <w:p w14:paraId="1225F60F">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采购项目及服务要求”</w:t>
            </w:r>
            <w:r>
              <w:rPr>
                <w:rFonts w:hint="eastAsia"/>
                <w:color w:val="auto"/>
                <w:sz w:val="24"/>
                <w:szCs w:val="24"/>
                <w:highlight w:val="none"/>
              </w:rPr>
              <w:t>相应条款</w:t>
            </w:r>
          </w:p>
        </w:tc>
      </w:tr>
      <w:tr w14:paraId="364B9203">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425D5A05">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4B2F26C7">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1.3</w:t>
            </w:r>
          </w:p>
        </w:tc>
        <w:tc>
          <w:tcPr>
            <w:tcW w:w="1874" w:type="dxa"/>
            <w:tcBorders>
              <w:top w:val="single" w:color="auto" w:sz="6" w:space="0"/>
              <w:left w:val="single" w:color="auto" w:sz="6" w:space="0"/>
              <w:bottom w:val="single" w:color="auto" w:sz="6" w:space="0"/>
              <w:right w:val="single" w:color="auto" w:sz="6" w:space="0"/>
            </w:tcBorders>
            <w:vAlign w:val="center"/>
          </w:tcPr>
          <w:p w14:paraId="58603E9C">
            <w:pPr>
              <w:autoSpaceDE w:val="0"/>
              <w:autoSpaceDN w:val="0"/>
              <w:adjustRightInd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投标报价</w:t>
            </w:r>
          </w:p>
        </w:tc>
        <w:tc>
          <w:tcPr>
            <w:tcW w:w="6579" w:type="dxa"/>
            <w:tcBorders>
              <w:top w:val="single" w:color="auto" w:sz="6" w:space="0"/>
              <w:left w:val="single" w:color="auto" w:sz="6" w:space="0"/>
              <w:bottom w:val="single" w:color="auto" w:sz="6" w:space="0"/>
              <w:right w:val="single" w:color="auto" w:sz="12" w:space="0"/>
            </w:tcBorders>
            <w:vAlign w:val="center"/>
          </w:tcPr>
          <w:p w14:paraId="3C66589F">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见“第二章采购项目及服务要求”相应条款</w:t>
            </w:r>
          </w:p>
        </w:tc>
      </w:tr>
      <w:tr w14:paraId="54E72E83">
        <w:tblPrEx>
          <w:tblCellMar>
            <w:top w:w="0" w:type="dxa"/>
            <w:left w:w="108" w:type="dxa"/>
            <w:bottom w:w="0" w:type="dxa"/>
            <w:right w:w="108" w:type="dxa"/>
          </w:tblCellMar>
        </w:tblPrEx>
        <w:trPr>
          <w:trHeight w:val="321" w:hRule="atLeast"/>
          <w:jc w:val="center"/>
        </w:trPr>
        <w:tc>
          <w:tcPr>
            <w:tcW w:w="608" w:type="dxa"/>
            <w:vMerge w:val="continue"/>
            <w:tcBorders>
              <w:left w:val="single" w:color="auto" w:sz="12" w:space="0"/>
              <w:right w:val="single" w:color="auto" w:sz="6" w:space="0"/>
            </w:tcBorders>
          </w:tcPr>
          <w:p w14:paraId="14D487EF">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7A480E30">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14:paraId="2CA28DF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标段（包）内容（范围）及服务要求</w:t>
            </w:r>
          </w:p>
        </w:tc>
        <w:tc>
          <w:tcPr>
            <w:tcW w:w="6579" w:type="dxa"/>
            <w:tcBorders>
              <w:top w:val="single" w:color="auto" w:sz="6" w:space="0"/>
              <w:left w:val="single" w:color="auto" w:sz="6" w:space="0"/>
              <w:bottom w:val="single" w:color="auto" w:sz="6" w:space="0"/>
              <w:right w:val="single" w:color="auto" w:sz="12" w:space="0"/>
            </w:tcBorders>
            <w:vAlign w:val="center"/>
          </w:tcPr>
          <w:p w14:paraId="19C1DF9D">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采购项目及服务要求”</w:t>
            </w:r>
            <w:r>
              <w:rPr>
                <w:rFonts w:hint="eastAsia"/>
                <w:color w:val="auto"/>
                <w:sz w:val="24"/>
                <w:szCs w:val="24"/>
                <w:highlight w:val="none"/>
              </w:rPr>
              <w:t>相应条款</w:t>
            </w:r>
          </w:p>
        </w:tc>
      </w:tr>
      <w:tr w14:paraId="30DCD3FE">
        <w:tblPrEx>
          <w:tblCellMar>
            <w:top w:w="0" w:type="dxa"/>
            <w:left w:w="108" w:type="dxa"/>
            <w:bottom w:w="0" w:type="dxa"/>
            <w:right w:w="108" w:type="dxa"/>
          </w:tblCellMar>
        </w:tblPrEx>
        <w:trPr>
          <w:trHeight w:val="366" w:hRule="atLeast"/>
          <w:jc w:val="center"/>
        </w:trPr>
        <w:tc>
          <w:tcPr>
            <w:tcW w:w="608" w:type="dxa"/>
            <w:vMerge w:val="restart"/>
            <w:tcBorders>
              <w:top w:val="single" w:color="auto" w:sz="6" w:space="0"/>
              <w:left w:val="single" w:color="auto" w:sz="12" w:space="0"/>
              <w:right w:val="single" w:color="auto" w:sz="6" w:space="0"/>
            </w:tcBorders>
          </w:tcPr>
          <w:p w14:paraId="7FB06E4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14:paraId="79311FF0">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1.4</w:t>
            </w:r>
          </w:p>
        </w:tc>
        <w:tc>
          <w:tcPr>
            <w:tcW w:w="1874" w:type="dxa"/>
            <w:tcBorders>
              <w:top w:val="single" w:color="auto" w:sz="6" w:space="0"/>
              <w:left w:val="single" w:color="auto" w:sz="6" w:space="0"/>
              <w:bottom w:val="single" w:color="auto" w:sz="6" w:space="0"/>
              <w:right w:val="single" w:color="auto" w:sz="6" w:space="0"/>
            </w:tcBorders>
            <w:vAlign w:val="center"/>
          </w:tcPr>
          <w:p w14:paraId="16F567D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579" w:type="dxa"/>
            <w:tcBorders>
              <w:top w:val="single" w:color="auto" w:sz="6" w:space="0"/>
              <w:left w:val="single" w:color="auto" w:sz="6" w:space="0"/>
              <w:bottom w:val="single" w:color="auto" w:sz="6" w:space="0"/>
              <w:right w:val="single" w:color="auto" w:sz="12" w:space="0"/>
            </w:tcBorders>
            <w:vAlign w:val="center"/>
          </w:tcPr>
          <w:p w14:paraId="5A9B552C">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不接受    </w:t>
            </w:r>
          </w:p>
        </w:tc>
      </w:tr>
      <w:tr w14:paraId="22F24EDF">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3672848F">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51C02DDE">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1874" w:type="dxa"/>
            <w:tcBorders>
              <w:top w:val="single" w:color="auto" w:sz="6" w:space="0"/>
              <w:left w:val="single" w:color="auto" w:sz="6" w:space="0"/>
              <w:bottom w:val="single" w:color="auto" w:sz="6" w:space="0"/>
              <w:right w:val="single" w:color="auto" w:sz="6" w:space="0"/>
            </w:tcBorders>
            <w:vAlign w:val="center"/>
          </w:tcPr>
          <w:p w14:paraId="6938D577">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579" w:type="dxa"/>
            <w:tcBorders>
              <w:top w:val="single" w:color="auto" w:sz="6" w:space="0"/>
              <w:left w:val="single" w:color="auto" w:sz="6" w:space="0"/>
              <w:bottom w:val="single" w:color="auto" w:sz="6" w:space="0"/>
              <w:right w:val="single" w:color="auto" w:sz="12" w:space="0"/>
            </w:tcBorders>
            <w:vAlign w:val="center"/>
          </w:tcPr>
          <w:p w14:paraId="5E3855DC">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不组织</w:t>
            </w:r>
          </w:p>
        </w:tc>
      </w:tr>
      <w:tr w14:paraId="7DA2A8BF">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2AC92C47">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07D67CAE">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1874" w:type="dxa"/>
            <w:tcBorders>
              <w:top w:val="single" w:color="auto" w:sz="6" w:space="0"/>
              <w:left w:val="single" w:color="auto" w:sz="6" w:space="0"/>
              <w:bottom w:val="single" w:color="auto" w:sz="6" w:space="0"/>
              <w:right w:val="single" w:color="auto" w:sz="6" w:space="0"/>
            </w:tcBorders>
            <w:vAlign w:val="center"/>
          </w:tcPr>
          <w:p w14:paraId="2D6111C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投标预备会</w:t>
            </w:r>
          </w:p>
        </w:tc>
        <w:tc>
          <w:tcPr>
            <w:tcW w:w="6579" w:type="dxa"/>
            <w:tcBorders>
              <w:top w:val="single" w:color="auto" w:sz="6" w:space="0"/>
              <w:left w:val="single" w:color="auto" w:sz="6" w:space="0"/>
              <w:bottom w:val="single" w:color="auto" w:sz="6" w:space="0"/>
              <w:right w:val="single" w:color="auto" w:sz="12" w:space="0"/>
            </w:tcBorders>
            <w:vAlign w:val="center"/>
          </w:tcPr>
          <w:p w14:paraId="3F7953B7">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14:paraId="0FDF0D97">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4C65CB35">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36C79764">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1874" w:type="dxa"/>
            <w:tcBorders>
              <w:top w:val="single" w:color="auto" w:sz="6" w:space="0"/>
              <w:left w:val="single" w:color="auto" w:sz="6" w:space="0"/>
              <w:bottom w:val="single" w:color="auto" w:sz="6" w:space="0"/>
              <w:right w:val="single" w:color="auto" w:sz="6" w:space="0"/>
            </w:tcBorders>
            <w:vAlign w:val="center"/>
          </w:tcPr>
          <w:p w14:paraId="1A089C3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579" w:type="dxa"/>
            <w:tcBorders>
              <w:top w:val="single" w:color="auto" w:sz="6" w:space="0"/>
              <w:left w:val="single" w:color="auto" w:sz="6" w:space="0"/>
              <w:bottom w:val="single" w:color="auto" w:sz="6" w:space="0"/>
              <w:right w:val="single" w:color="auto" w:sz="12" w:space="0"/>
            </w:tcBorders>
            <w:vAlign w:val="center"/>
          </w:tcPr>
          <w:p w14:paraId="1ED28EB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不允许     </w:t>
            </w:r>
          </w:p>
        </w:tc>
      </w:tr>
      <w:tr w14:paraId="5E5A5583">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58723223">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36396291">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2.1</w:t>
            </w:r>
          </w:p>
        </w:tc>
        <w:tc>
          <w:tcPr>
            <w:tcW w:w="1874" w:type="dxa"/>
            <w:tcBorders>
              <w:top w:val="single" w:color="auto" w:sz="6" w:space="0"/>
              <w:left w:val="single" w:color="auto" w:sz="6" w:space="0"/>
              <w:bottom w:val="single" w:color="auto" w:sz="6" w:space="0"/>
              <w:right w:val="single" w:color="auto" w:sz="6" w:space="0"/>
            </w:tcBorders>
            <w:vAlign w:val="center"/>
          </w:tcPr>
          <w:p w14:paraId="4D6031D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构成谈判文件的其他材料</w:t>
            </w:r>
          </w:p>
        </w:tc>
        <w:tc>
          <w:tcPr>
            <w:tcW w:w="6579" w:type="dxa"/>
            <w:tcBorders>
              <w:top w:val="single" w:color="auto" w:sz="6" w:space="0"/>
              <w:left w:val="single" w:color="auto" w:sz="6" w:space="0"/>
              <w:bottom w:val="single" w:color="auto" w:sz="6" w:space="0"/>
              <w:right w:val="single" w:color="auto" w:sz="12" w:space="0"/>
            </w:tcBorders>
            <w:vAlign w:val="center"/>
          </w:tcPr>
          <w:p w14:paraId="5F75981E">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40F76FE6">
        <w:tblPrEx>
          <w:tblCellMar>
            <w:top w:w="0" w:type="dxa"/>
            <w:left w:w="108" w:type="dxa"/>
            <w:bottom w:w="0" w:type="dxa"/>
            <w:right w:w="108" w:type="dxa"/>
          </w:tblCellMar>
        </w:tblPrEx>
        <w:trPr>
          <w:trHeight w:val="604" w:hRule="atLeast"/>
          <w:jc w:val="center"/>
        </w:trPr>
        <w:tc>
          <w:tcPr>
            <w:tcW w:w="608" w:type="dxa"/>
            <w:vMerge w:val="continue"/>
            <w:tcBorders>
              <w:left w:val="single" w:color="auto" w:sz="12" w:space="0"/>
              <w:right w:val="single" w:color="auto" w:sz="6" w:space="0"/>
            </w:tcBorders>
          </w:tcPr>
          <w:p w14:paraId="668BC632">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679F968E">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2.2.1</w:t>
            </w:r>
          </w:p>
        </w:tc>
        <w:tc>
          <w:tcPr>
            <w:tcW w:w="1874" w:type="dxa"/>
            <w:tcBorders>
              <w:top w:val="single" w:color="auto" w:sz="6" w:space="0"/>
              <w:left w:val="single" w:color="auto" w:sz="6" w:space="0"/>
              <w:bottom w:val="single" w:color="auto" w:sz="6" w:space="0"/>
              <w:right w:val="single" w:color="auto" w:sz="6" w:space="0"/>
            </w:tcBorders>
            <w:vAlign w:val="center"/>
          </w:tcPr>
          <w:p w14:paraId="4F5E1EE9">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投标人提出问题的截止时间</w:t>
            </w:r>
          </w:p>
        </w:tc>
        <w:tc>
          <w:tcPr>
            <w:tcW w:w="6579" w:type="dxa"/>
            <w:tcBorders>
              <w:top w:val="single" w:color="auto" w:sz="6" w:space="0"/>
              <w:left w:val="single" w:color="auto" w:sz="6" w:space="0"/>
              <w:bottom w:val="single" w:color="auto" w:sz="6" w:space="0"/>
              <w:right w:val="single" w:color="auto" w:sz="12" w:space="0"/>
            </w:tcBorders>
            <w:vAlign w:val="center"/>
          </w:tcPr>
          <w:p w14:paraId="18D50175">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日前</w:t>
            </w:r>
          </w:p>
        </w:tc>
      </w:tr>
      <w:tr w14:paraId="4F1ED9E7">
        <w:tblPrEx>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14:paraId="7D1EB0AA">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36444D95">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2.3</w:t>
            </w:r>
          </w:p>
        </w:tc>
        <w:tc>
          <w:tcPr>
            <w:tcW w:w="1874" w:type="dxa"/>
            <w:tcBorders>
              <w:top w:val="single" w:color="auto" w:sz="6" w:space="0"/>
              <w:left w:val="single" w:color="auto" w:sz="6" w:space="0"/>
              <w:bottom w:val="single" w:color="auto" w:sz="6" w:space="0"/>
              <w:right w:val="single" w:color="auto" w:sz="6" w:space="0"/>
            </w:tcBorders>
            <w:vAlign w:val="center"/>
          </w:tcPr>
          <w:p w14:paraId="6BEB2C2E">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谈判文件澄清修改补充时间</w:t>
            </w:r>
          </w:p>
        </w:tc>
        <w:tc>
          <w:tcPr>
            <w:tcW w:w="6579" w:type="dxa"/>
            <w:tcBorders>
              <w:top w:val="single" w:color="auto" w:sz="6" w:space="0"/>
              <w:left w:val="single" w:color="auto" w:sz="6" w:space="0"/>
              <w:bottom w:val="single" w:color="auto" w:sz="6" w:space="0"/>
              <w:right w:val="single" w:color="auto" w:sz="12" w:space="0"/>
            </w:tcBorders>
            <w:vAlign w:val="center"/>
          </w:tcPr>
          <w:p w14:paraId="43B7AA90">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3</w:t>
            </w:r>
            <w:r>
              <w:rPr>
                <w:rFonts w:hint="eastAsia" w:ascii="宋体" w:hAnsi="宋体" w:cs="楷体_GB2312"/>
                <w:color w:val="auto"/>
                <w:sz w:val="24"/>
                <w:highlight w:val="none"/>
              </w:rPr>
              <w:t>个工作</w:t>
            </w:r>
            <w:r>
              <w:rPr>
                <w:rFonts w:hint="eastAsia" w:ascii="宋体" w:hAnsi="宋体" w:cs="楷体_GB2312"/>
                <w:color w:val="auto"/>
                <w:sz w:val="24"/>
                <w:highlight w:val="none"/>
                <w:lang w:val="zh-CN"/>
              </w:rPr>
              <w:t>日前。</w:t>
            </w:r>
          </w:p>
        </w:tc>
      </w:tr>
      <w:tr w14:paraId="2DC119D3">
        <w:tblPrEx>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14:paraId="0F042D27">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4B566513">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2.4</w:t>
            </w:r>
          </w:p>
        </w:tc>
        <w:tc>
          <w:tcPr>
            <w:tcW w:w="1874" w:type="dxa"/>
            <w:tcBorders>
              <w:top w:val="single" w:color="auto" w:sz="6" w:space="0"/>
              <w:left w:val="single" w:color="auto" w:sz="6" w:space="0"/>
              <w:bottom w:val="single" w:color="auto" w:sz="6" w:space="0"/>
              <w:right w:val="single" w:color="auto" w:sz="6" w:space="0"/>
            </w:tcBorders>
            <w:vAlign w:val="center"/>
          </w:tcPr>
          <w:p w14:paraId="16298F66">
            <w:pPr>
              <w:autoSpaceDE w:val="0"/>
              <w:autoSpaceDN w:val="0"/>
              <w:adjustRightInd w:val="0"/>
              <w:snapToGrid w:val="0"/>
              <w:spacing w:line="240" w:lineRule="auto"/>
              <w:ind w:left="-126" w:leftChars="-60" w:right="-36" w:rightChars="-17"/>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谈判文件的澄清修改补充告知方式</w:t>
            </w:r>
          </w:p>
        </w:tc>
        <w:tc>
          <w:tcPr>
            <w:tcW w:w="6579" w:type="dxa"/>
            <w:tcBorders>
              <w:top w:val="single" w:color="auto" w:sz="6" w:space="0"/>
              <w:left w:val="single" w:color="auto" w:sz="6" w:space="0"/>
              <w:bottom w:val="single" w:color="auto" w:sz="6" w:space="0"/>
              <w:right w:val="single" w:color="auto" w:sz="12" w:space="0"/>
            </w:tcBorders>
            <w:vAlign w:val="center"/>
          </w:tcPr>
          <w:p w14:paraId="339447DE">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41AEA958">
        <w:tblPrEx>
          <w:tblCellMar>
            <w:top w:w="0" w:type="dxa"/>
            <w:left w:w="108" w:type="dxa"/>
            <w:bottom w:w="0" w:type="dxa"/>
            <w:right w:w="108" w:type="dxa"/>
          </w:tblCellMar>
        </w:tblPrEx>
        <w:trPr>
          <w:trHeight w:val="535" w:hRule="atLeast"/>
          <w:jc w:val="center"/>
        </w:trPr>
        <w:tc>
          <w:tcPr>
            <w:tcW w:w="608" w:type="dxa"/>
            <w:vMerge w:val="continue"/>
            <w:tcBorders>
              <w:left w:val="single" w:color="auto" w:sz="12" w:space="0"/>
              <w:bottom w:val="single" w:color="auto" w:sz="6" w:space="0"/>
              <w:right w:val="single" w:color="auto" w:sz="6" w:space="0"/>
            </w:tcBorders>
          </w:tcPr>
          <w:p w14:paraId="0DC79949">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626E6318">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3.2</w:t>
            </w:r>
          </w:p>
        </w:tc>
        <w:tc>
          <w:tcPr>
            <w:tcW w:w="1874" w:type="dxa"/>
            <w:tcBorders>
              <w:top w:val="single" w:color="auto" w:sz="6" w:space="0"/>
              <w:left w:val="single" w:color="auto" w:sz="6" w:space="0"/>
              <w:bottom w:val="single" w:color="auto" w:sz="6" w:space="0"/>
              <w:right w:val="single" w:color="auto" w:sz="6" w:space="0"/>
            </w:tcBorders>
            <w:vAlign w:val="center"/>
          </w:tcPr>
          <w:p w14:paraId="54AD428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投标文件的组成</w:t>
            </w:r>
          </w:p>
        </w:tc>
        <w:tc>
          <w:tcPr>
            <w:tcW w:w="6579" w:type="dxa"/>
            <w:tcBorders>
              <w:top w:val="single" w:color="auto" w:sz="6" w:space="0"/>
              <w:left w:val="single" w:color="auto" w:sz="6" w:space="0"/>
              <w:bottom w:val="single" w:color="auto" w:sz="6" w:space="0"/>
              <w:right w:val="single" w:color="auto" w:sz="12" w:space="0"/>
            </w:tcBorders>
            <w:vAlign w:val="center"/>
          </w:tcPr>
          <w:p w14:paraId="4D16A2EB">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463FCE32">
        <w:tblPrEx>
          <w:tblCellMar>
            <w:top w:w="0" w:type="dxa"/>
            <w:left w:w="108" w:type="dxa"/>
            <w:bottom w:w="0" w:type="dxa"/>
            <w:right w:w="108" w:type="dxa"/>
          </w:tblCellMar>
        </w:tblPrEx>
        <w:trPr>
          <w:trHeight w:val="564" w:hRule="atLeast"/>
          <w:jc w:val="center"/>
        </w:trPr>
        <w:tc>
          <w:tcPr>
            <w:tcW w:w="608" w:type="dxa"/>
            <w:vMerge w:val="restart"/>
            <w:tcBorders>
              <w:top w:val="single" w:color="auto" w:sz="6" w:space="0"/>
              <w:left w:val="single" w:color="auto" w:sz="12" w:space="0"/>
              <w:right w:val="single" w:color="auto" w:sz="6" w:space="0"/>
            </w:tcBorders>
          </w:tcPr>
          <w:p w14:paraId="529B4C98">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第三章</w:t>
            </w:r>
          </w:p>
          <w:p w14:paraId="0961DC3A">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0D896E9B">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3.4.1</w:t>
            </w:r>
          </w:p>
        </w:tc>
        <w:tc>
          <w:tcPr>
            <w:tcW w:w="1874" w:type="dxa"/>
            <w:tcBorders>
              <w:top w:val="single" w:color="auto" w:sz="6" w:space="0"/>
              <w:left w:val="single" w:color="auto" w:sz="6" w:space="0"/>
              <w:bottom w:val="single" w:color="auto" w:sz="6" w:space="0"/>
              <w:right w:val="single" w:color="auto" w:sz="6" w:space="0"/>
            </w:tcBorders>
            <w:vAlign w:val="center"/>
          </w:tcPr>
          <w:p w14:paraId="42972F1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投标有效期</w:t>
            </w:r>
          </w:p>
        </w:tc>
        <w:tc>
          <w:tcPr>
            <w:tcW w:w="6579" w:type="dxa"/>
            <w:tcBorders>
              <w:top w:val="single" w:color="auto" w:sz="6" w:space="0"/>
              <w:left w:val="single" w:color="auto" w:sz="6" w:space="0"/>
              <w:bottom w:val="single" w:color="auto" w:sz="6" w:space="0"/>
              <w:right w:val="single" w:color="auto" w:sz="12" w:space="0"/>
            </w:tcBorders>
            <w:vAlign w:val="center"/>
          </w:tcPr>
          <w:p w14:paraId="09A5578B">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从开标之日起，投标有效期为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14:paraId="38D98F3F">
        <w:tblPrEx>
          <w:tblCellMar>
            <w:top w:w="0" w:type="dxa"/>
            <w:left w:w="108" w:type="dxa"/>
            <w:bottom w:w="0" w:type="dxa"/>
            <w:right w:w="108" w:type="dxa"/>
          </w:tblCellMar>
        </w:tblPrEx>
        <w:trPr>
          <w:trHeight w:val="694" w:hRule="atLeast"/>
          <w:jc w:val="center"/>
        </w:trPr>
        <w:tc>
          <w:tcPr>
            <w:tcW w:w="608" w:type="dxa"/>
            <w:vMerge w:val="continue"/>
            <w:tcBorders>
              <w:left w:val="single" w:color="auto" w:sz="12" w:space="0"/>
              <w:right w:val="single" w:color="auto" w:sz="6" w:space="0"/>
            </w:tcBorders>
          </w:tcPr>
          <w:p w14:paraId="7DF2992E">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right w:val="single" w:color="auto" w:sz="6" w:space="0"/>
            </w:tcBorders>
            <w:vAlign w:val="center"/>
          </w:tcPr>
          <w:p w14:paraId="3528D60C">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3.5</w:t>
            </w:r>
          </w:p>
        </w:tc>
        <w:tc>
          <w:tcPr>
            <w:tcW w:w="1874" w:type="dxa"/>
            <w:tcBorders>
              <w:top w:val="single" w:color="auto" w:sz="6" w:space="0"/>
              <w:left w:val="single" w:color="auto" w:sz="6" w:space="0"/>
              <w:right w:val="single" w:color="auto" w:sz="6" w:space="0"/>
            </w:tcBorders>
            <w:vAlign w:val="center"/>
          </w:tcPr>
          <w:p w14:paraId="555DC4A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投标承诺函</w:t>
            </w:r>
          </w:p>
          <w:p w14:paraId="0133E216">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（替代投标保证金）</w:t>
            </w:r>
          </w:p>
        </w:tc>
        <w:tc>
          <w:tcPr>
            <w:tcW w:w="6579" w:type="dxa"/>
            <w:tcBorders>
              <w:top w:val="single" w:color="auto" w:sz="6" w:space="0"/>
              <w:left w:val="single" w:color="auto" w:sz="6" w:space="0"/>
              <w:right w:val="single" w:color="auto" w:sz="12" w:space="0"/>
            </w:tcBorders>
            <w:vAlign w:val="center"/>
          </w:tcPr>
          <w:p w14:paraId="79CF322F">
            <w:pPr>
              <w:widowControl w:val="0"/>
              <w:snapToGrid w:val="0"/>
              <w:spacing w:before="156" w:beforeLines="50" w:line="240" w:lineRule="auto"/>
              <w:rPr>
                <w:color w:val="auto"/>
                <w:sz w:val="24"/>
                <w:szCs w:val="24"/>
                <w:highlight w:val="none"/>
              </w:rPr>
            </w:pPr>
            <w:r>
              <w:rPr>
                <w:rFonts w:hint="eastAsia"/>
                <w:color w:val="auto"/>
                <w:sz w:val="24"/>
                <w:szCs w:val="24"/>
                <w:highlight w:val="none"/>
              </w:rPr>
              <w:t>以投标承诺函形式替代投标保证金。</w:t>
            </w:r>
          </w:p>
          <w:p w14:paraId="234653C4">
            <w:pPr>
              <w:widowControl w:val="0"/>
              <w:snapToGrid w:val="0"/>
              <w:spacing w:before="156" w:beforeLines="50" w:line="240" w:lineRule="auto"/>
              <w:rPr>
                <w:color w:val="auto"/>
                <w:sz w:val="24"/>
                <w:szCs w:val="24"/>
                <w:highlight w:val="none"/>
              </w:rPr>
            </w:pPr>
            <w:r>
              <w:rPr>
                <w:rFonts w:hint="eastAsia"/>
                <w:color w:val="auto"/>
                <w:sz w:val="24"/>
                <w:szCs w:val="24"/>
                <w:highlight w:val="none"/>
              </w:rPr>
              <w:t>供应商应按附件格式进行投标承诺、违背承诺的责任追究。</w:t>
            </w:r>
          </w:p>
        </w:tc>
      </w:tr>
      <w:tr w14:paraId="731E9309">
        <w:tblPrEx>
          <w:tblCellMar>
            <w:top w:w="0" w:type="dxa"/>
            <w:left w:w="108" w:type="dxa"/>
            <w:bottom w:w="0" w:type="dxa"/>
            <w:right w:w="108" w:type="dxa"/>
          </w:tblCellMar>
        </w:tblPrEx>
        <w:trPr>
          <w:trHeight w:val="577" w:hRule="atLeast"/>
          <w:jc w:val="center"/>
        </w:trPr>
        <w:tc>
          <w:tcPr>
            <w:tcW w:w="608" w:type="dxa"/>
            <w:vMerge w:val="continue"/>
            <w:tcBorders>
              <w:left w:val="single" w:color="auto" w:sz="12" w:space="0"/>
              <w:right w:val="single" w:color="auto" w:sz="6" w:space="0"/>
            </w:tcBorders>
          </w:tcPr>
          <w:p w14:paraId="28C6D0F0">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4" w:space="0"/>
              <w:left w:val="single" w:color="auto" w:sz="12" w:space="0"/>
              <w:bottom w:val="single" w:color="auto" w:sz="6" w:space="0"/>
              <w:right w:val="single" w:color="auto" w:sz="6" w:space="0"/>
            </w:tcBorders>
            <w:vAlign w:val="center"/>
          </w:tcPr>
          <w:p w14:paraId="782BB6C5">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3.7.3</w:t>
            </w:r>
          </w:p>
        </w:tc>
        <w:tc>
          <w:tcPr>
            <w:tcW w:w="1874" w:type="dxa"/>
            <w:tcBorders>
              <w:top w:val="single" w:color="auto" w:sz="4" w:space="0"/>
              <w:left w:val="single" w:color="auto" w:sz="6" w:space="0"/>
              <w:bottom w:val="single" w:color="auto" w:sz="6" w:space="0"/>
              <w:right w:val="single" w:color="auto" w:sz="6" w:space="0"/>
            </w:tcBorders>
            <w:vAlign w:val="center"/>
          </w:tcPr>
          <w:p w14:paraId="7DC7701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579" w:type="dxa"/>
            <w:tcBorders>
              <w:top w:val="single" w:color="auto" w:sz="4" w:space="0"/>
              <w:left w:val="single" w:color="auto" w:sz="6" w:space="0"/>
              <w:bottom w:val="single" w:color="auto" w:sz="6" w:space="0"/>
              <w:right w:val="single" w:color="auto" w:sz="12" w:space="0"/>
            </w:tcBorders>
            <w:vAlign w:val="center"/>
          </w:tcPr>
          <w:p w14:paraId="06302A2F">
            <w:pPr>
              <w:widowControl w:val="0"/>
              <w:snapToGrid w:val="0"/>
              <w:spacing w:before="156"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69329430">
        <w:tblPrEx>
          <w:tblCellMar>
            <w:top w:w="0" w:type="dxa"/>
            <w:left w:w="108" w:type="dxa"/>
            <w:bottom w:w="0" w:type="dxa"/>
            <w:right w:w="108" w:type="dxa"/>
          </w:tblCellMar>
        </w:tblPrEx>
        <w:trPr>
          <w:trHeight w:val="65" w:hRule="atLeast"/>
          <w:jc w:val="center"/>
        </w:trPr>
        <w:tc>
          <w:tcPr>
            <w:tcW w:w="608" w:type="dxa"/>
            <w:vMerge w:val="continue"/>
            <w:tcBorders>
              <w:left w:val="single" w:color="auto" w:sz="12" w:space="0"/>
              <w:right w:val="single" w:color="auto" w:sz="6" w:space="0"/>
            </w:tcBorders>
          </w:tcPr>
          <w:p w14:paraId="5AF185C2">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50786707">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3.7.4</w:t>
            </w:r>
          </w:p>
        </w:tc>
        <w:tc>
          <w:tcPr>
            <w:tcW w:w="1874" w:type="dxa"/>
            <w:tcBorders>
              <w:top w:val="single" w:color="auto" w:sz="6" w:space="0"/>
              <w:left w:val="single" w:color="auto" w:sz="6" w:space="0"/>
              <w:bottom w:val="single" w:color="auto" w:sz="6" w:space="0"/>
              <w:right w:val="single" w:color="auto" w:sz="6" w:space="0"/>
            </w:tcBorders>
            <w:vAlign w:val="center"/>
          </w:tcPr>
          <w:p w14:paraId="3B5C100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579" w:type="dxa"/>
            <w:tcBorders>
              <w:top w:val="single" w:color="auto" w:sz="6" w:space="0"/>
              <w:left w:val="single" w:color="auto" w:sz="6" w:space="0"/>
              <w:bottom w:val="single" w:color="auto" w:sz="6" w:space="0"/>
              <w:right w:val="single" w:color="auto" w:sz="12" w:space="0"/>
            </w:tcBorders>
            <w:vAlign w:val="center"/>
          </w:tcPr>
          <w:p w14:paraId="4F695F1E">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283408DE">
        <w:tblPrEx>
          <w:tblCellMar>
            <w:top w:w="0" w:type="dxa"/>
            <w:left w:w="108" w:type="dxa"/>
            <w:bottom w:w="0" w:type="dxa"/>
            <w:right w:w="108" w:type="dxa"/>
          </w:tblCellMar>
        </w:tblPrEx>
        <w:trPr>
          <w:trHeight w:val="343" w:hRule="atLeast"/>
          <w:jc w:val="center"/>
        </w:trPr>
        <w:tc>
          <w:tcPr>
            <w:tcW w:w="608" w:type="dxa"/>
            <w:vMerge w:val="continue"/>
            <w:tcBorders>
              <w:left w:val="single" w:color="auto" w:sz="12" w:space="0"/>
              <w:right w:val="single" w:color="auto" w:sz="6" w:space="0"/>
            </w:tcBorders>
          </w:tcPr>
          <w:p w14:paraId="01C2FEE0">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7A4D1EC1">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4.2.4</w:t>
            </w:r>
          </w:p>
        </w:tc>
        <w:tc>
          <w:tcPr>
            <w:tcW w:w="1874" w:type="dxa"/>
            <w:tcBorders>
              <w:top w:val="single" w:color="auto" w:sz="6" w:space="0"/>
              <w:left w:val="single" w:color="auto" w:sz="6" w:space="0"/>
              <w:bottom w:val="single" w:color="auto" w:sz="6" w:space="0"/>
              <w:right w:val="single" w:color="auto" w:sz="6" w:space="0"/>
            </w:tcBorders>
            <w:vAlign w:val="center"/>
          </w:tcPr>
          <w:p w14:paraId="1B98037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是否退还投标文件</w:t>
            </w:r>
          </w:p>
        </w:tc>
        <w:tc>
          <w:tcPr>
            <w:tcW w:w="6579" w:type="dxa"/>
            <w:tcBorders>
              <w:top w:val="single" w:color="auto" w:sz="6" w:space="0"/>
              <w:left w:val="single" w:color="auto" w:sz="6" w:space="0"/>
              <w:bottom w:val="single" w:color="auto" w:sz="6" w:space="0"/>
              <w:right w:val="single" w:color="auto" w:sz="12" w:space="0"/>
            </w:tcBorders>
            <w:vAlign w:val="center"/>
          </w:tcPr>
          <w:p w14:paraId="60B0E7AB">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14:paraId="7D973D88">
        <w:tblPrEx>
          <w:tblCellMar>
            <w:top w:w="0" w:type="dxa"/>
            <w:left w:w="108" w:type="dxa"/>
            <w:bottom w:w="0" w:type="dxa"/>
            <w:right w:w="108" w:type="dxa"/>
          </w:tblCellMar>
        </w:tblPrEx>
        <w:trPr>
          <w:trHeight w:val="507" w:hRule="atLeast"/>
          <w:jc w:val="center"/>
        </w:trPr>
        <w:tc>
          <w:tcPr>
            <w:tcW w:w="608" w:type="dxa"/>
            <w:vMerge w:val="continue"/>
            <w:tcBorders>
              <w:left w:val="single" w:color="auto" w:sz="12" w:space="0"/>
              <w:bottom w:val="single" w:color="auto" w:sz="6" w:space="0"/>
              <w:right w:val="single" w:color="auto" w:sz="6" w:space="0"/>
            </w:tcBorders>
          </w:tcPr>
          <w:p w14:paraId="052DABDA">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46E1C6CD">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6.1</w:t>
            </w:r>
          </w:p>
        </w:tc>
        <w:tc>
          <w:tcPr>
            <w:tcW w:w="1874" w:type="dxa"/>
            <w:tcBorders>
              <w:top w:val="single" w:color="auto" w:sz="6" w:space="0"/>
              <w:left w:val="single" w:color="auto" w:sz="6" w:space="0"/>
              <w:bottom w:val="single" w:color="auto" w:sz="6" w:space="0"/>
              <w:right w:val="single" w:color="auto" w:sz="6" w:space="0"/>
            </w:tcBorders>
            <w:vAlign w:val="center"/>
          </w:tcPr>
          <w:p w14:paraId="12471864">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谈判小组的组建</w:t>
            </w:r>
          </w:p>
        </w:tc>
        <w:tc>
          <w:tcPr>
            <w:tcW w:w="6579" w:type="dxa"/>
            <w:tcBorders>
              <w:top w:val="single" w:color="auto" w:sz="6" w:space="0"/>
              <w:left w:val="single" w:color="auto" w:sz="6" w:space="0"/>
              <w:bottom w:val="single" w:color="auto" w:sz="6" w:space="0"/>
              <w:right w:val="single" w:color="auto" w:sz="12" w:space="0"/>
            </w:tcBorders>
            <w:vAlign w:val="center"/>
          </w:tcPr>
          <w:p w14:paraId="43B3FE52">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554E4EAE">
        <w:tblPrEx>
          <w:tblCellMar>
            <w:top w:w="0" w:type="dxa"/>
            <w:left w:w="108" w:type="dxa"/>
            <w:bottom w:w="0" w:type="dxa"/>
            <w:right w:w="108" w:type="dxa"/>
          </w:tblCellMar>
        </w:tblPrEx>
        <w:trPr>
          <w:trHeight w:val="543" w:hRule="atLeast"/>
          <w:jc w:val="center"/>
        </w:trPr>
        <w:tc>
          <w:tcPr>
            <w:tcW w:w="608" w:type="dxa"/>
            <w:vMerge w:val="restart"/>
            <w:tcBorders>
              <w:left w:val="single" w:color="auto" w:sz="12" w:space="0"/>
              <w:right w:val="single" w:color="auto" w:sz="6" w:space="0"/>
            </w:tcBorders>
          </w:tcPr>
          <w:p w14:paraId="63633D6D">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694" w:type="dxa"/>
            <w:tcBorders>
              <w:top w:val="single" w:color="auto" w:sz="6" w:space="0"/>
              <w:left w:val="single" w:color="auto" w:sz="12" w:space="0"/>
              <w:bottom w:val="single" w:color="auto" w:sz="6" w:space="0"/>
              <w:right w:val="single" w:color="auto" w:sz="6" w:space="0"/>
            </w:tcBorders>
            <w:vAlign w:val="center"/>
          </w:tcPr>
          <w:p w14:paraId="2D976428">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rPr>
            </w:pPr>
            <w:r>
              <w:rPr>
                <w:rFonts w:ascii="宋体" w:hAnsi="宋体" w:cs="楷体_GB2312"/>
                <w:b/>
                <w:bCs/>
                <w:color w:val="auto"/>
                <w:szCs w:val="21"/>
                <w:highlight w:val="none"/>
              </w:rPr>
              <w:t>7.1</w:t>
            </w:r>
          </w:p>
        </w:tc>
        <w:tc>
          <w:tcPr>
            <w:tcW w:w="1874" w:type="dxa"/>
            <w:tcBorders>
              <w:top w:val="single" w:color="auto" w:sz="6" w:space="0"/>
              <w:left w:val="single" w:color="auto" w:sz="6" w:space="0"/>
              <w:bottom w:val="single" w:color="auto" w:sz="6" w:space="0"/>
              <w:right w:val="single" w:color="auto" w:sz="6" w:space="0"/>
            </w:tcBorders>
            <w:vAlign w:val="center"/>
          </w:tcPr>
          <w:p w14:paraId="148F7479">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是否授权谈判小组确定成交供应商</w:t>
            </w:r>
          </w:p>
        </w:tc>
        <w:tc>
          <w:tcPr>
            <w:tcW w:w="6579" w:type="dxa"/>
            <w:tcBorders>
              <w:top w:val="single" w:color="auto" w:sz="6" w:space="0"/>
              <w:left w:val="single" w:color="auto" w:sz="6" w:space="0"/>
              <w:bottom w:val="single" w:color="auto" w:sz="6" w:space="0"/>
              <w:right w:val="single" w:color="auto" w:sz="12" w:space="0"/>
            </w:tcBorders>
            <w:vAlign w:val="center"/>
          </w:tcPr>
          <w:p w14:paraId="1F9A7B93">
            <w:pPr>
              <w:adjustRightInd w:val="0"/>
              <w:snapToGrid w:val="0"/>
              <w:spacing w:before="156" w:beforeLines="50" w:line="240" w:lineRule="auto"/>
              <w:rPr>
                <w:rFonts w:ascii="宋体"/>
                <w:color w:val="auto"/>
                <w:sz w:val="24"/>
                <w:highlight w:val="none"/>
              </w:rPr>
            </w:pPr>
            <w:r>
              <w:rPr>
                <w:rFonts w:hint="eastAsia" w:ascii="宋体" w:hAnsi="宋体"/>
                <w:color w:val="auto"/>
                <w:sz w:val="24"/>
                <w:highlight w:val="none"/>
              </w:rPr>
              <w:t>是。谈判小组按照最后报价由低到高的顺序提出</w:t>
            </w:r>
            <w:r>
              <w:rPr>
                <w:rFonts w:ascii="宋体" w:hAnsi="宋体"/>
                <w:color w:val="auto"/>
                <w:sz w:val="24"/>
                <w:highlight w:val="none"/>
              </w:rPr>
              <w:t>3</w:t>
            </w:r>
            <w:r>
              <w:rPr>
                <w:rFonts w:hint="eastAsia" w:ascii="宋体" w:hAnsi="宋体"/>
                <w:color w:val="auto"/>
                <w:sz w:val="24"/>
                <w:highlight w:val="none"/>
              </w:rPr>
              <w:t>名成交候选人，并确定排名第一的成交候选人为成交供应商。</w:t>
            </w:r>
          </w:p>
        </w:tc>
      </w:tr>
      <w:tr w14:paraId="50DBFE65">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19529020">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2D06386D">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7.2</w:t>
            </w:r>
          </w:p>
        </w:tc>
        <w:tc>
          <w:tcPr>
            <w:tcW w:w="1874" w:type="dxa"/>
            <w:tcBorders>
              <w:top w:val="single" w:color="auto" w:sz="6" w:space="0"/>
              <w:left w:val="single" w:color="auto" w:sz="6" w:space="0"/>
              <w:bottom w:val="single" w:color="auto" w:sz="6" w:space="0"/>
              <w:right w:val="single" w:color="auto" w:sz="6" w:space="0"/>
            </w:tcBorders>
            <w:vAlign w:val="center"/>
          </w:tcPr>
          <w:p w14:paraId="19109902">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成交结果公告</w:t>
            </w:r>
          </w:p>
        </w:tc>
        <w:tc>
          <w:tcPr>
            <w:tcW w:w="6579" w:type="dxa"/>
            <w:tcBorders>
              <w:top w:val="single" w:color="auto" w:sz="6" w:space="0"/>
              <w:left w:val="single" w:color="auto" w:sz="6" w:space="0"/>
              <w:bottom w:val="single" w:color="auto" w:sz="6" w:space="0"/>
              <w:right w:val="single" w:color="auto" w:sz="12" w:space="0"/>
            </w:tcBorders>
            <w:vAlign w:val="center"/>
          </w:tcPr>
          <w:p w14:paraId="1E00FD69">
            <w:pPr>
              <w:adjustRightInd w:val="0"/>
              <w:snapToGrid w:val="0"/>
              <w:spacing w:before="156" w:beforeLines="50" w:line="240" w:lineRule="auto"/>
              <w:rPr>
                <w:rFonts w:ascii="宋体" w:hAnsi="宋体"/>
                <w:color w:val="auto"/>
                <w:sz w:val="24"/>
                <w:highlight w:val="none"/>
              </w:rPr>
            </w:pPr>
            <w:r>
              <w:rPr>
                <w:rFonts w:hint="eastAsia" w:ascii="宋体" w:hAnsi="宋体"/>
                <w:color w:val="auto"/>
                <w:sz w:val="24"/>
                <w:highlight w:val="none"/>
              </w:rPr>
              <w:t>本次竞争性谈判的成交结果将在成交供应商确定当天即时在谈判公告所述媒介公告</w:t>
            </w:r>
            <w:r>
              <w:rPr>
                <w:rFonts w:ascii="宋体" w:hAnsi="宋体"/>
                <w:color w:val="auto"/>
                <w:sz w:val="24"/>
                <w:highlight w:val="none"/>
              </w:rPr>
              <w:t>1</w:t>
            </w:r>
            <w:r>
              <w:rPr>
                <w:rFonts w:hint="eastAsia" w:ascii="宋体" w:hAnsi="宋体"/>
                <w:color w:val="auto"/>
                <w:sz w:val="24"/>
                <w:highlight w:val="none"/>
              </w:rPr>
              <w:t>个工作日。</w:t>
            </w:r>
          </w:p>
        </w:tc>
      </w:tr>
      <w:tr w14:paraId="2456CC40">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19CBDED7">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49325881">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7.3</w:t>
            </w:r>
          </w:p>
        </w:tc>
        <w:tc>
          <w:tcPr>
            <w:tcW w:w="1874" w:type="dxa"/>
            <w:tcBorders>
              <w:top w:val="single" w:color="auto" w:sz="6" w:space="0"/>
              <w:left w:val="single" w:color="auto" w:sz="6" w:space="0"/>
              <w:bottom w:val="single" w:color="auto" w:sz="6" w:space="0"/>
              <w:right w:val="single" w:color="auto" w:sz="6" w:space="0"/>
            </w:tcBorders>
            <w:vAlign w:val="center"/>
          </w:tcPr>
          <w:p w14:paraId="21883781">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质疑、投诉</w:t>
            </w:r>
          </w:p>
        </w:tc>
        <w:tc>
          <w:tcPr>
            <w:tcW w:w="6579" w:type="dxa"/>
            <w:tcBorders>
              <w:top w:val="single" w:color="auto" w:sz="6" w:space="0"/>
              <w:left w:val="single" w:color="auto" w:sz="6" w:space="0"/>
              <w:bottom w:val="single" w:color="auto" w:sz="6" w:space="0"/>
              <w:right w:val="single" w:color="auto" w:sz="12" w:space="0"/>
            </w:tcBorders>
            <w:vAlign w:val="center"/>
          </w:tcPr>
          <w:p w14:paraId="293BE29E">
            <w:pPr>
              <w:adjustRightInd w:val="0"/>
              <w:snapToGrid w:val="0"/>
              <w:spacing w:before="156" w:beforeLines="50" w:line="240" w:lineRule="auto"/>
              <w:rPr>
                <w:rFonts w:asci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14:paraId="68C84ECD">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5513D78B">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6AC2CC3B">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7.4</w:t>
            </w:r>
          </w:p>
        </w:tc>
        <w:tc>
          <w:tcPr>
            <w:tcW w:w="1874" w:type="dxa"/>
            <w:tcBorders>
              <w:top w:val="single" w:color="auto" w:sz="6" w:space="0"/>
              <w:left w:val="single" w:color="auto" w:sz="6" w:space="0"/>
              <w:bottom w:val="single" w:color="auto" w:sz="6" w:space="0"/>
              <w:right w:val="single" w:color="auto" w:sz="6" w:space="0"/>
            </w:tcBorders>
            <w:vAlign w:val="center"/>
          </w:tcPr>
          <w:p w14:paraId="6E807685">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成交通知书</w:t>
            </w:r>
          </w:p>
        </w:tc>
        <w:tc>
          <w:tcPr>
            <w:tcW w:w="6579" w:type="dxa"/>
            <w:tcBorders>
              <w:top w:val="single" w:color="auto" w:sz="6" w:space="0"/>
              <w:left w:val="single" w:color="auto" w:sz="6" w:space="0"/>
              <w:bottom w:val="single" w:color="auto" w:sz="6" w:space="0"/>
              <w:right w:val="single" w:color="auto" w:sz="12" w:space="0"/>
            </w:tcBorders>
            <w:vAlign w:val="center"/>
          </w:tcPr>
          <w:p w14:paraId="549FA0D5">
            <w:pPr>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w:t>
            </w:r>
            <w:r>
              <w:rPr>
                <w:rFonts w:hint="eastAsia" w:ascii="宋体" w:hAnsi="宋体"/>
                <w:color w:val="auto"/>
                <w:sz w:val="24"/>
                <w:highlight w:val="none"/>
              </w:rPr>
              <w:t>当天即时</w:t>
            </w:r>
            <w:r>
              <w:rPr>
                <w:rFonts w:hint="eastAsia" w:ascii="宋体" w:hAnsi="宋体" w:cs="楷体_GB2312"/>
                <w:color w:val="auto"/>
                <w:sz w:val="24"/>
                <w:highlight w:val="none"/>
                <w:lang w:val="zh-CN"/>
              </w:rPr>
              <w:t>向成交供应商发出成交通知书。成交供应商应凭缴费凭证及时领取成交通知书。</w:t>
            </w:r>
          </w:p>
        </w:tc>
      </w:tr>
      <w:tr w14:paraId="768BB020">
        <w:tblPrEx>
          <w:tblCellMar>
            <w:top w:w="0" w:type="dxa"/>
            <w:left w:w="108" w:type="dxa"/>
            <w:bottom w:w="0" w:type="dxa"/>
            <w:right w:w="108" w:type="dxa"/>
          </w:tblCellMar>
        </w:tblPrEx>
        <w:trPr>
          <w:trHeight w:val="453" w:hRule="atLeast"/>
          <w:jc w:val="center"/>
        </w:trPr>
        <w:tc>
          <w:tcPr>
            <w:tcW w:w="608" w:type="dxa"/>
            <w:vMerge w:val="restart"/>
            <w:tcBorders>
              <w:left w:val="single" w:color="auto" w:sz="12" w:space="0"/>
              <w:right w:val="single" w:color="auto" w:sz="6" w:space="0"/>
            </w:tcBorders>
          </w:tcPr>
          <w:p w14:paraId="54C38864">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14:paraId="19C17969">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7.5</w:t>
            </w:r>
          </w:p>
        </w:tc>
        <w:tc>
          <w:tcPr>
            <w:tcW w:w="1874" w:type="dxa"/>
            <w:tcBorders>
              <w:top w:val="single" w:color="auto" w:sz="6" w:space="0"/>
              <w:left w:val="single" w:color="auto" w:sz="6" w:space="0"/>
              <w:bottom w:val="single" w:color="auto" w:sz="6" w:space="0"/>
              <w:right w:val="single" w:color="auto" w:sz="6" w:space="0"/>
            </w:tcBorders>
            <w:vAlign w:val="center"/>
          </w:tcPr>
          <w:p w14:paraId="67364F8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579" w:type="dxa"/>
            <w:tcBorders>
              <w:top w:val="single" w:color="auto" w:sz="6" w:space="0"/>
              <w:left w:val="single" w:color="auto" w:sz="6" w:space="0"/>
              <w:bottom w:val="single" w:color="auto" w:sz="6" w:space="0"/>
              <w:right w:val="single" w:color="auto" w:sz="12" w:space="0"/>
            </w:tcBorders>
            <w:vAlign w:val="center"/>
          </w:tcPr>
          <w:p w14:paraId="648A91CC">
            <w:pPr>
              <w:adjustRightInd w:val="0"/>
              <w:snapToGrid w:val="0"/>
              <w:spacing w:before="156" w:beforeLines="50" w:line="240" w:lineRule="auto"/>
              <w:rPr>
                <w:rFonts w:ascii="宋体" w:hAnsi="宋体" w:cs="楷体_GB2312"/>
                <w:color w:val="auto"/>
                <w:sz w:val="24"/>
                <w:highlight w:val="none"/>
                <w:lang w:val="zh-CN"/>
              </w:rPr>
            </w:pPr>
            <w:r>
              <w:rPr>
                <w:rFonts w:hint="eastAsia"/>
                <w:color w:val="auto"/>
                <w:sz w:val="24"/>
                <w:szCs w:val="24"/>
                <w:highlight w:val="none"/>
              </w:rPr>
              <w:t>不需缴纳</w:t>
            </w:r>
          </w:p>
        </w:tc>
      </w:tr>
      <w:tr w14:paraId="7F9F9FB9">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471B4C21">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5DD8A2E2">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8</w:t>
            </w:r>
          </w:p>
        </w:tc>
        <w:tc>
          <w:tcPr>
            <w:tcW w:w="1874" w:type="dxa"/>
            <w:tcBorders>
              <w:top w:val="single" w:color="auto" w:sz="6" w:space="0"/>
              <w:left w:val="single" w:color="auto" w:sz="6" w:space="0"/>
              <w:bottom w:val="single" w:color="auto" w:sz="6" w:space="0"/>
              <w:right w:val="single" w:color="auto" w:sz="6" w:space="0"/>
            </w:tcBorders>
            <w:vAlign w:val="center"/>
          </w:tcPr>
          <w:p w14:paraId="765EBE9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579" w:type="dxa"/>
            <w:tcBorders>
              <w:top w:val="single" w:color="auto" w:sz="6" w:space="0"/>
              <w:left w:val="single" w:color="auto" w:sz="6" w:space="0"/>
              <w:bottom w:val="single" w:color="auto" w:sz="6" w:space="0"/>
              <w:right w:val="single" w:color="auto" w:sz="12" w:space="0"/>
            </w:tcBorders>
            <w:vAlign w:val="center"/>
          </w:tcPr>
          <w:p w14:paraId="33AC6762">
            <w:pPr>
              <w:widowControl w:val="0"/>
              <w:snapToGrid w:val="0"/>
              <w:spacing w:before="156" w:beforeLines="50" w:line="240" w:lineRule="auto"/>
              <w:rPr>
                <w:color w:val="auto"/>
                <w:sz w:val="24"/>
                <w:szCs w:val="24"/>
                <w:highlight w:val="none"/>
              </w:rPr>
            </w:pPr>
            <w:r>
              <w:rPr>
                <w:rFonts w:hint="eastAsia"/>
                <w:color w:val="auto"/>
                <w:sz w:val="24"/>
                <w:szCs w:val="24"/>
                <w:highlight w:val="none"/>
              </w:rPr>
              <w:t>见“第三章投标人须知”相应条款</w:t>
            </w:r>
          </w:p>
        </w:tc>
      </w:tr>
      <w:tr w14:paraId="3070059A">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091347F7">
            <w:pPr>
              <w:autoSpaceDE w:val="0"/>
              <w:autoSpaceDN w:val="0"/>
              <w:adjustRightInd w:val="0"/>
              <w:spacing w:line="36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62EAEFD6">
            <w:pPr>
              <w:autoSpaceDE w:val="0"/>
              <w:autoSpaceDN w:val="0"/>
              <w:adjustRightInd w:val="0"/>
              <w:spacing w:line="360" w:lineRule="auto"/>
              <w:jc w:val="center"/>
              <w:rPr>
                <w:rFonts w:ascii="宋体" w:cs="楷体_GB2312"/>
                <w:b/>
                <w:bCs/>
                <w:color w:val="auto"/>
                <w:sz w:val="24"/>
                <w:highlight w:val="none"/>
              </w:rPr>
            </w:pPr>
            <w:r>
              <w:rPr>
                <w:rFonts w:ascii="宋体" w:hAnsi="宋体" w:cs="楷体_GB2312"/>
                <w:b/>
                <w:bCs/>
                <w:color w:val="auto"/>
                <w:sz w:val="24"/>
                <w:highlight w:val="none"/>
              </w:rPr>
              <w:t>9</w:t>
            </w:r>
          </w:p>
        </w:tc>
        <w:tc>
          <w:tcPr>
            <w:tcW w:w="1874" w:type="dxa"/>
            <w:tcBorders>
              <w:top w:val="single" w:color="auto" w:sz="6" w:space="0"/>
              <w:left w:val="single" w:color="auto" w:sz="6" w:space="0"/>
              <w:bottom w:val="single" w:color="auto" w:sz="6" w:space="0"/>
              <w:right w:val="single" w:color="auto" w:sz="6" w:space="0"/>
            </w:tcBorders>
            <w:vAlign w:val="center"/>
          </w:tcPr>
          <w:p w14:paraId="32069E7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579" w:type="dxa"/>
            <w:tcBorders>
              <w:top w:val="single" w:color="auto" w:sz="6" w:space="0"/>
              <w:left w:val="single" w:color="auto" w:sz="6" w:space="0"/>
              <w:bottom w:val="single" w:color="auto" w:sz="6" w:space="0"/>
              <w:right w:val="single" w:color="auto" w:sz="12" w:space="0"/>
            </w:tcBorders>
            <w:vAlign w:val="center"/>
          </w:tcPr>
          <w:p w14:paraId="62D3F219">
            <w:pPr>
              <w:snapToGrid w:val="0"/>
              <w:spacing w:before="156" w:beforeLines="50" w:line="240" w:lineRule="auto"/>
              <w:ind w:firstLine="480" w:firstLineChars="200"/>
              <w:rPr>
                <w:color w:val="auto"/>
                <w:sz w:val="24"/>
                <w:szCs w:val="24"/>
                <w:highlight w:val="none"/>
              </w:rPr>
            </w:pPr>
            <w:bookmarkStart w:id="20" w:name="OLE_LINK11"/>
            <w:r>
              <w:rPr>
                <w:rFonts w:hint="eastAsia"/>
                <w:color w:val="auto"/>
                <w:sz w:val="24"/>
                <w:szCs w:val="24"/>
                <w:highlight w:val="none"/>
              </w:rPr>
              <w:t>为进一步优化营商环境，根据安财购﹝</w:t>
            </w:r>
            <w:r>
              <w:rPr>
                <w:color w:val="auto"/>
                <w:sz w:val="24"/>
                <w:szCs w:val="24"/>
                <w:highlight w:val="none"/>
              </w:rPr>
              <w:t>2022</w:t>
            </w:r>
            <w:r>
              <w:rPr>
                <w:rFonts w:hint="eastAsia"/>
                <w:color w:val="auto"/>
                <w:sz w:val="24"/>
                <w:szCs w:val="24"/>
                <w:highlight w:val="none"/>
              </w:rPr>
              <w:t>﹞</w:t>
            </w:r>
            <w:r>
              <w:rPr>
                <w:color w:val="auto"/>
                <w:sz w:val="24"/>
                <w:szCs w:val="24"/>
                <w:highlight w:val="none"/>
              </w:rPr>
              <w:t>8</w:t>
            </w:r>
            <w:r>
              <w:rPr>
                <w:rFonts w:hint="eastAsia"/>
                <w:color w:val="auto"/>
                <w:sz w:val="24"/>
                <w:szCs w:val="24"/>
                <w:highlight w:val="none"/>
              </w:rPr>
              <w:t>号文件落实政府采购中小企业预付款的规定，采购人根据资金情况可在政府采购合同签订后，向成交供应商原则上预付不低于合同金额</w:t>
            </w:r>
            <w:r>
              <w:rPr>
                <w:color w:val="auto"/>
                <w:sz w:val="24"/>
                <w:szCs w:val="24"/>
                <w:highlight w:val="none"/>
              </w:rPr>
              <w:t>50%</w:t>
            </w:r>
            <w:r>
              <w:rPr>
                <w:rFonts w:hint="eastAsia"/>
                <w:color w:val="auto"/>
                <w:sz w:val="24"/>
                <w:szCs w:val="24"/>
                <w:highlight w:val="none"/>
              </w:rPr>
              <w:t>的预付款，成交供应商应向采购人提交预付款保函，未提供保函的，视同其放弃项目预付款的支付。</w:t>
            </w:r>
          </w:p>
          <w:p w14:paraId="500935EE">
            <w:pPr>
              <w:snapToGrid w:val="0"/>
              <w:spacing w:before="156" w:beforeLines="50" w:line="240" w:lineRule="auto"/>
              <w:ind w:firstLine="480" w:firstLineChars="200"/>
              <w:rPr>
                <w:rFonts w:ascii="宋体" w:cs="楷体_GB2312"/>
                <w:color w:val="auto"/>
                <w:sz w:val="24"/>
                <w:highlight w:val="none"/>
                <w:lang w:val="zh-CN"/>
              </w:rPr>
            </w:pPr>
            <w:r>
              <w:rPr>
                <w:rFonts w:hint="eastAsia"/>
                <w:color w:val="auto"/>
                <w:sz w:val="24"/>
                <w:szCs w:val="24"/>
                <w:highlight w:val="none"/>
              </w:rPr>
              <w:t>按季度（三个月）支付，网上提交支付申请后，凭借网上打印的《殷都区政府采购资金申请表》，经采购人盖章后，作为付款依据，由采购人付款。</w:t>
            </w:r>
            <w:bookmarkEnd w:id="20"/>
          </w:p>
        </w:tc>
      </w:tr>
      <w:tr w14:paraId="241528D9">
        <w:tblPrEx>
          <w:tblCellMar>
            <w:top w:w="0" w:type="dxa"/>
            <w:left w:w="108" w:type="dxa"/>
            <w:bottom w:w="0" w:type="dxa"/>
            <w:right w:w="108" w:type="dxa"/>
          </w:tblCellMar>
        </w:tblPrEx>
        <w:trPr>
          <w:trHeight w:val="453" w:hRule="atLeast"/>
          <w:jc w:val="center"/>
        </w:trPr>
        <w:tc>
          <w:tcPr>
            <w:tcW w:w="608" w:type="dxa"/>
            <w:tcBorders>
              <w:left w:val="single" w:color="auto" w:sz="12" w:space="0"/>
              <w:bottom w:val="single" w:color="auto" w:sz="6" w:space="0"/>
              <w:right w:val="single" w:color="auto" w:sz="6" w:space="0"/>
            </w:tcBorders>
          </w:tcPr>
          <w:p w14:paraId="21E9E667">
            <w:pPr>
              <w:autoSpaceDE w:val="0"/>
              <w:autoSpaceDN w:val="0"/>
              <w:adjustRightInd w:val="0"/>
              <w:spacing w:line="36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55549FD0">
            <w:pPr>
              <w:autoSpaceDE w:val="0"/>
              <w:autoSpaceDN w:val="0"/>
              <w:adjustRightInd w:val="0"/>
              <w:spacing w:line="360" w:lineRule="auto"/>
              <w:jc w:val="center"/>
              <w:rPr>
                <w:rFonts w:ascii="宋体" w:cs="楷体_GB2312"/>
                <w:b/>
                <w:bCs/>
                <w:color w:val="auto"/>
                <w:sz w:val="24"/>
                <w:highlight w:val="none"/>
              </w:rPr>
            </w:pPr>
            <w:r>
              <w:rPr>
                <w:rFonts w:ascii="宋体" w:hAnsi="宋体" w:cs="楷体_GB2312"/>
                <w:b/>
                <w:bCs/>
                <w:color w:val="auto"/>
                <w:sz w:val="24"/>
                <w:highlight w:val="none"/>
              </w:rPr>
              <w:t>10.1</w:t>
            </w:r>
          </w:p>
        </w:tc>
        <w:tc>
          <w:tcPr>
            <w:tcW w:w="1874" w:type="dxa"/>
            <w:tcBorders>
              <w:top w:val="single" w:color="auto" w:sz="6" w:space="0"/>
              <w:left w:val="single" w:color="auto" w:sz="6" w:space="0"/>
              <w:bottom w:val="single" w:color="auto" w:sz="6" w:space="0"/>
              <w:right w:val="single" w:color="auto" w:sz="6" w:space="0"/>
            </w:tcBorders>
            <w:vAlign w:val="center"/>
          </w:tcPr>
          <w:p w14:paraId="6899FEC6">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代理服务费</w:t>
            </w:r>
          </w:p>
        </w:tc>
        <w:tc>
          <w:tcPr>
            <w:tcW w:w="6579" w:type="dxa"/>
            <w:tcBorders>
              <w:top w:val="single" w:color="auto" w:sz="6" w:space="0"/>
              <w:left w:val="single" w:color="auto" w:sz="6" w:space="0"/>
              <w:bottom w:val="single" w:color="auto" w:sz="6" w:space="0"/>
              <w:right w:val="single" w:color="auto" w:sz="12" w:space="0"/>
            </w:tcBorders>
            <w:vAlign w:val="center"/>
          </w:tcPr>
          <w:p w14:paraId="57164953">
            <w:pPr>
              <w:adjustRightInd w:val="0"/>
              <w:snapToGrid w:val="0"/>
              <w:spacing w:before="156" w:beforeLines="50" w:line="240" w:lineRule="auto"/>
              <w:rPr>
                <w:rFonts w:ascii="宋体" w:hAnsi="宋体"/>
                <w:color w:val="auto"/>
                <w:sz w:val="24"/>
                <w:highlight w:val="none"/>
              </w:rPr>
            </w:pPr>
            <w:r>
              <w:rPr>
                <w:rFonts w:hint="eastAsia" w:ascii="宋体" w:hAnsi="宋体"/>
                <w:color w:val="auto"/>
                <w:sz w:val="24"/>
                <w:highlight w:val="none"/>
              </w:rPr>
              <w:t>参照国家计委《招标代理服务收费管理暂行办法》（计价格【</w:t>
            </w:r>
            <w:r>
              <w:rPr>
                <w:rFonts w:ascii="宋体" w:hAnsi="宋体"/>
                <w:color w:val="auto"/>
                <w:sz w:val="24"/>
                <w:highlight w:val="none"/>
              </w:rPr>
              <w:t>2002</w:t>
            </w:r>
            <w:r>
              <w:rPr>
                <w:rFonts w:hint="eastAsia" w:ascii="宋体" w:hAnsi="宋体"/>
                <w:color w:val="auto"/>
                <w:sz w:val="24"/>
                <w:highlight w:val="none"/>
              </w:rPr>
              <w:t>】</w:t>
            </w:r>
            <w:r>
              <w:rPr>
                <w:rFonts w:ascii="宋体" w:hAnsi="宋体"/>
                <w:color w:val="auto"/>
                <w:sz w:val="24"/>
                <w:highlight w:val="none"/>
              </w:rPr>
              <w:t>1980</w:t>
            </w:r>
            <w:r>
              <w:rPr>
                <w:rFonts w:hint="eastAsia" w:ascii="宋体" w:hAnsi="宋体"/>
                <w:color w:val="auto"/>
                <w:sz w:val="24"/>
                <w:highlight w:val="none"/>
              </w:rPr>
              <w:t>号）、《国家发展和改革委员会办公厅关于招标代理服务费有关问题的通知》（发改办价格【</w:t>
            </w:r>
            <w:r>
              <w:rPr>
                <w:rFonts w:ascii="宋体" w:hAnsi="宋体"/>
                <w:color w:val="auto"/>
                <w:sz w:val="24"/>
                <w:highlight w:val="none"/>
              </w:rPr>
              <w:t>2003</w:t>
            </w:r>
            <w:r>
              <w:rPr>
                <w:rFonts w:hint="eastAsia" w:ascii="宋体" w:hAnsi="宋体"/>
                <w:color w:val="auto"/>
                <w:sz w:val="24"/>
                <w:highlight w:val="none"/>
              </w:rPr>
              <w:t>】</w:t>
            </w:r>
            <w:r>
              <w:rPr>
                <w:rFonts w:ascii="宋体" w:hAnsi="宋体"/>
                <w:color w:val="auto"/>
                <w:sz w:val="24"/>
                <w:highlight w:val="none"/>
              </w:rPr>
              <w:t>857</w:t>
            </w:r>
            <w:r>
              <w:rPr>
                <w:rFonts w:hint="eastAsia" w:ascii="宋体" w:hAnsi="宋体"/>
                <w:color w:val="auto"/>
                <w:sz w:val="24"/>
                <w:highlight w:val="none"/>
              </w:rPr>
              <w:t>号）及发改价格【</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534</w:t>
            </w:r>
            <w:r>
              <w:rPr>
                <w:rFonts w:hint="eastAsia" w:ascii="宋体" w:hAnsi="宋体"/>
                <w:color w:val="auto"/>
                <w:sz w:val="24"/>
                <w:highlight w:val="none"/>
              </w:rPr>
              <w:t>号文件的规定，招标代理服务费由中标（成交）供应商支付。</w:t>
            </w:r>
          </w:p>
        </w:tc>
      </w:tr>
    </w:tbl>
    <w:p w14:paraId="0A63C64B">
      <w:pPr>
        <w:autoSpaceDE w:val="0"/>
        <w:autoSpaceDN w:val="0"/>
        <w:adjustRightInd w:val="0"/>
        <w:spacing w:line="360" w:lineRule="auto"/>
        <w:ind w:firstLine="539"/>
        <w:rPr>
          <w:color w:val="auto"/>
          <w:highlight w:val="none"/>
        </w:rPr>
      </w:pPr>
      <w:r>
        <w:rPr>
          <w:color w:val="auto"/>
          <w:highlight w:val="none"/>
        </w:rPr>
        <w:br w:type="page"/>
      </w:r>
    </w:p>
    <w:p w14:paraId="03528B66">
      <w:pPr>
        <w:autoSpaceDE w:val="0"/>
        <w:autoSpaceDN w:val="0"/>
        <w:adjustRightInd w:val="0"/>
        <w:snapToGrid w:val="0"/>
        <w:spacing w:before="156" w:beforeLines="50" w:line="300" w:lineRule="auto"/>
        <w:ind w:firstLine="539"/>
        <w:outlineLvl w:val="1"/>
        <w:rPr>
          <w:rFonts w:ascii="黑体" w:hAnsi="黑体" w:eastAsia="黑体"/>
          <w:color w:val="auto"/>
          <w:sz w:val="28"/>
          <w:szCs w:val="28"/>
          <w:highlight w:val="none"/>
          <w:lang w:val="zh-CN"/>
        </w:rPr>
      </w:pPr>
      <w:bookmarkStart w:id="21" w:name="_Toc206599122"/>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bookmarkEnd w:id="21"/>
    </w:p>
    <w:p w14:paraId="1A45C78E">
      <w:pPr>
        <w:autoSpaceDE w:val="0"/>
        <w:autoSpaceDN w:val="0"/>
        <w:adjustRightInd w:val="0"/>
        <w:snapToGrid w:val="0"/>
        <w:spacing w:before="156"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 xml:space="preserve">1.1 </w:t>
      </w:r>
      <w:r>
        <w:rPr>
          <w:rFonts w:hint="eastAsia" w:ascii="宋体" w:hAnsi="宋体"/>
          <w:color w:val="auto"/>
          <w:sz w:val="24"/>
          <w:szCs w:val="24"/>
          <w:highlight w:val="none"/>
        </w:rPr>
        <w:t>根据《中华人民共和国政府采购法》、《中华人民共和国政府采购法实施条例》、《政府采购非招标采购方式管理办法》及相关政府采购法律法规等制定本文件。</w:t>
      </w:r>
    </w:p>
    <w:p w14:paraId="4664ED14">
      <w:pPr>
        <w:adjustRightInd w:val="0"/>
        <w:snapToGrid w:val="0"/>
        <w:spacing w:before="156" w:beforeLines="50" w:line="300" w:lineRule="auto"/>
        <w:ind w:right="240" w:firstLine="482" w:firstLineChars="200"/>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1.2 </w:t>
      </w:r>
      <w:r>
        <w:rPr>
          <w:rFonts w:hint="eastAsia" w:ascii="黑体" w:hAnsi="黑体" w:eastAsia="黑体" w:cs="楷体_GB2312"/>
          <w:b/>
          <w:color w:val="auto"/>
          <w:sz w:val="24"/>
          <w:highlight w:val="none"/>
          <w:lang w:val="zh-CN"/>
        </w:rPr>
        <w:t>谈判文件的法律适用及法律效力</w:t>
      </w:r>
    </w:p>
    <w:p w14:paraId="03DD0FB3">
      <w:pPr>
        <w:adjustRightInd w:val="0"/>
        <w:snapToGrid w:val="0"/>
        <w:spacing w:before="156"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本</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所述内容，仅适用于本次项目采购。</w:t>
      </w:r>
    </w:p>
    <w:p w14:paraId="64F55D5D">
      <w:pPr>
        <w:adjustRightInd w:val="0"/>
        <w:snapToGrid w:val="0"/>
        <w:spacing w:before="156"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 xml:space="preserve">1.2.2 </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的修改性文件、补充文件、澄清文件或说明具有同等法律效力。</w:t>
      </w:r>
    </w:p>
    <w:p w14:paraId="3C97C1E0">
      <w:pPr>
        <w:adjustRightInd w:val="0"/>
        <w:snapToGrid w:val="0"/>
        <w:spacing w:before="156"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适用于并执行《政府采购法》和其它相关的法律、法规。</w:t>
      </w:r>
    </w:p>
    <w:p w14:paraId="44978CDA">
      <w:pPr>
        <w:adjustRightInd w:val="0"/>
        <w:snapToGrid w:val="0"/>
        <w:spacing w:before="156"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的解释权属采购人及代理机构。</w:t>
      </w:r>
    </w:p>
    <w:p w14:paraId="18708652">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1.3 </w:t>
      </w:r>
      <w:r>
        <w:rPr>
          <w:rFonts w:hint="eastAsia" w:ascii="黑体" w:hAnsi="黑体" w:eastAsia="黑体" w:cs="楷体_GB2312"/>
          <w:b/>
          <w:color w:val="auto"/>
          <w:sz w:val="24"/>
          <w:highlight w:val="none"/>
          <w:lang w:val="zh-CN"/>
        </w:rPr>
        <w:t>合格的投标人</w:t>
      </w:r>
    </w:p>
    <w:p w14:paraId="09BF3A8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凡符合谈判文件规定，承认本谈判文件所有内容的投标人为合格的投标人。</w:t>
      </w:r>
    </w:p>
    <w:p w14:paraId="0D7D680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14:paraId="44B0B19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为采购项目提供整体设计、规范编制或者项目管理、监理、检测等服务的供应商，不得再参加该采购项目的其他采购活动。</w:t>
      </w:r>
    </w:p>
    <w:p w14:paraId="6244B8E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投标人应遵守国家法律、法规和谈判文件的规定。</w:t>
      </w:r>
    </w:p>
    <w:p w14:paraId="7E33CA7D">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zh-CN"/>
        </w:rPr>
        <w:t>　联合体</w:t>
      </w:r>
    </w:p>
    <w:p w14:paraId="357C0F4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如投标人须知前附表规定接受联合体投标的，应遵守以下规定：</w:t>
      </w:r>
    </w:p>
    <w:p w14:paraId="52C01B3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1</w:t>
      </w:r>
      <w:r>
        <w:rPr>
          <w:rFonts w:hint="eastAsia" w:ascii="宋体" w:cs="楷体_GB2312"/>
          <w:color w:val="auto"/>
          <w:sz w:val="24"/>
          <w:highlight w:val="none"/>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482814D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）两个以上供应商可以组成一个投标联合体，以一个投标人的身份投标，但必须确定其中一个单位为投标的全权代表参加投标活动，并承担投标及履约中应承担的全部责任和义务。</w:t>
      </w:r>
    </w:p>
    <w:p w14:paraId="0DE0C9E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以联合体形式参加投标的，应符投标人须知前附表的要求，联合体各方均应当符合政府采购法第二十二条第一款规定的条件，联合体各方均应当具备承担采购项目（标段&lt;包&gt;）的相应能力、具备规定的相应资格条件。</w:t>
      </w:r>
    </w:p>
    <w:p w14:paraId="6EDC48A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）联合体中有同类资质的供应商按照联合体分工承担相同工作的，应当按照资质等级较低的供应商确定资质等级。</w:t>
      </w:r>
    </w:p>
    <w:p w14:paraId="004612C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）联合体各方之间应当签订联合投标协议，明确约定联合体各方承担的工作和相应的责任，并将联合投标协议连同投标文件一并提交采购代理机构。</w:t>
      </w:r>
    </w:p>
    <w:p w14:paraId="5884B3A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）联合体各方签订联合投标协议后，不得再以自己名义单独在同一项目中投标，也不得组成新的联合体参加同一项目投标。</w:t>
      </w:r>
    </w:p>
    <w:p w14:paraId="23BE58E0">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）联合体中标（成交）的，联合体各方应当共同与采购人签订合同，就中标（成交）项目（标段&lt;包&gt;）向采购人承担连带责任。</w:t>
      </w:r>
    </w:p>
    <w:p w14:paraId="66A6DFB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（8）预留中小企业份额项目中，</w:t>
      </w:r>
      <w:r>
        <w:rPr>
          <w:rFonts w:hint="eastAsia" w:ascii="宋体" w:hAnsi="宋体"/>
          <w:color w:val="auto"/>
          <w:sz w:val="24"/>
          <w:szCs w:val="24"/>
          <w:highlight w:val="none"/>
        </w:rPr>
        <w:t>组成联合体的中小企业与联合体内其他企业不得存在直接控股、管理关系。</w:t>
      </w:r>
    </w:p>
    <w:p w14:paraId="14CD8AF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  知识产权</w:t>
      </w:r>
    </w:p>
    <w:p w14:paraId="7AC3BAD2">
      <w:pPr>
        <w:ind w:firstLine="480" w:firstLineChars="200"/>
        <w:rPr>
          <w:rFonts w:ascii="宋体" w:hAnsi="宋体"/>
          <w:color w:val="auto"/>
          <w:sz w:val="24"/>
          <w:highlight w:val="none"/>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highlight w:val="none"/>
        </w:rPr>
        <w:t>如因专利权、商标权或其它知识产权而引起法律和经济纠纷，由供应商承担所有相关责任。</w:t>
      </w:r>
    </w:p>
    <w:p w14:paraId="301400BD">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14:paraId="448C897C">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45EACD2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除非谈判文件特别规定，采购人享有本项目实施过程中产生的知识成果及知识产权。</w:t>
      </w:r>
    </w:p>
    <w:p w14:paraId="75766D9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投标费用</w:t>
      </w:r>
    </w:p>
    <w:p w14:paraId="671FBB1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投标过程中的做法和结果如何，无论何种原因的谈判失败废标或终止，投标人应自行承担所有与准备和参加投标有关的全部费用（类比商业采购中的客户洽谈费用），采购代理机构在任何情况下均无义务和责任承担投标人的任何费用。</w:t>
      </w:r>
    </w:p>
    <w:p w14:paraId="3BB0DBBF">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7</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保密</w:t>
      </w:r>
    </w:p>
    <w:p w14:paraId="68A6DF8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参与竞争性谈判活动的各方应对谈判文件和投标文件中的商业和技术等秘密保密，投标人应在投标文件中对需保密事项予以书面声明，否则视为非保密事项。</w:t>
      </w:r>
    </w:p>
    <w:p w14:paraId="463D6DC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依据政府采购成交结果及合同公告规定，成交（合同）标的名称、规格型号、单价及成交（合同）金额等内容不得作为商业秘密。</w:t>
      </w:r>
    </w:p>
    <w:p w14:paraId="33DA867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8</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语言文字</w:t>
      </w:r>
    </w:p>
    <w:p w14:paraId="6290E1F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竞争性谈判有关的语言均使用中文。必要时专用术语应附有中文注释。如果投标文件或与投标有关的其它文件、信件及来往函电以其它语言书写，投标人应将其译成中文，并对中文译稿的真实、准确、完整承担责任。</w:t>
      </w:r>
    </w:p>
    <w:p w14:paraId="51B74B6F">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计量单位</w:t>
      </w:r>
    </w:p>
    <w:p w14:paraId="37FD5F6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14:paraId="1791787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踏勘现场</w:t>
      </w:r>
    </w:p>
    <w:p w14:paraId="3CBB342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投标人踏勘现场发生的费用自理，投标人自行负责在踏勘现场中所发生的人员伤亡和财产损失。</w:t>
      </w:r>
    </w:p>
    <w:p w14:paraId="05B26D7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14:paraId="4347CA5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投标人须知前附表规定不组织踏勘现场的，谈判文件不单独提供交验地自然环境、气候条件、交验安装条件等情况说明，投标人被视为熟悉前述与履行合同有关的一切情况，投标人可自行踏勘现场并自行了解相关情况。</w:t>
      </w:r>
    </w:p>
    <w:p w14:paraId="7DFDDD49">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投标预备会</w:t>
      </w:r>
    </w:p>
    <w:p w14:paraId="0FC4642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投标人须知前附表规定召开投标预备会的，采购人及代理机构按投标人须知前附表规定的时间和地点召开投标预备会，澄清投标人提出的问题。</w:t>
      </w:r>
    </w:p>
    <w:p w14:paraId="5DE516D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投标人应在投标人须知前附表规定的时间前，以书面形式将提出的问题送达采购人及代理机构，以便采购人及代理机构在会议期间澄清。</w:t>
      </w:r>
    </w:p>
    <w:p w14:paraId="42F4C4F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投标预备会后，采购人及代理机构在投标人须知前附表规定的时间内，将对投标人所提问题的澄清，以本章</w:t>
      </w:r>
      <w:r>
        <w:rPr>
          <w:rFonts w:ascii="宋体" w:hAnsi="宋体" w:cs="楷体_GB2312"/>
          <w:color w:val="auto"/>
          <w:sz w:val="24"/>
          <w:highlight w:val="none"/>
          <w:lang w:val="zh-CN"/>
        </w:rPr>
        <w:t>2.3.2</w:t>
      </w:r>
      <w:r>
        <w:rPr>
          <w:rFonts w:hint="eastAsia" w:ascii="宋体" w:hAnsi="宋体" w:cs="楷体_GB2312"/>
          <w:color w:val="auto"/>
          <w:sz w:val="24"/>
          <w:highlight w:val="none"/>
          <w:lang w:val="zh-CN"/>
        </w:rPr>
        <w:t>项方式通告潜在投标人。该澄清内容为谈判文件的组成部分。</w:t>
      </w:r>
    </w:p>
    <w:p w14:paraId="290D2E4E">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 分包</w:t>
      </w:r>
    </w:p>
    <w:p w14:paraId="455591BA">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投标人拟在成交后将成交项目</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标段&lt;包&gt;</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的部分非主体、非关键性工作进行分包的，应符合投标人须知前附表规定的分包内容、分包金额和接受分包的第三人资质要求等限制性条件。</w:t>
      </w:r>
    </w:p>
    <w:p w14:paraId="19292F44">
      <w:pPr>
        <w:autoSpaceDE w:val="0"/>
        <w:autoSpaceDN w:val="0"/>
        <w:adjustRightInd w:val="0"/>
        <w:snapToGrid w:val="0"/>
        <w:spacing w:before="156" w:beforeLines="50" w:line="300" w:lineRule="auto"/>
        <w:ind w:firstLine="539"/>
        <w:rPr>
          <w:rFonts w:ascii="宋体" w:hAnsi="宋体"/>
          <w:color w:val="auto"/>
          <w:sz w:val="24"/>
          <w:szCs w:val="24"/>
          <w:highlight w:val="none"/>
        </w:rPr>
      </w:pPr>
      <w:r>
        <w:rPr>
          <w:rFonts w:hint="eastAsia" w:ascii="宋体" w:hAnsi="宋体" w:cs="楷体_GB2312"/>
          <w:color w:val="auto"/>
          <w:sz w:val="24"/>
          <w:highlight w:val="none"/>
          <w:lang w:val="zh-CN"/>
        </w:rPr>
        <w:t>预留中小企业份额项目中，</w:t>
      </w:r>
      <w:r>
        <w:rPr>
          <w:rFonts w:hint="eastAsia" w:ascii="宋体" w:hAnsi="宋体"/>
          <w:color w:val="auto"/>
          <w:sz w:val="24"/>
          <w:szCs w:val="24"/>
          <w:highlight w:val="none"/>
        </w:rPr>
        <w:t>接受分包合同的中小企业与分包企业之间不得存在直接控股、管理关系</w:t>
      </w:r>
    </w:p>
    <w:p w14:paraId="21BE270D">
      <w:pPr>
        <w:autoSpaceDE w:val="0"/>
        <w:autoSpaceDN w:val="0"/>
        <w:adjustRightInd w:val="0"/>
        <w:snapToGrid w:val="0"/>
        <w:spacing w:before="156" w:beforeLines="50" w:line="300" w:lineRule="auto"/>
        <w:ind w:firstLine="539"/>
        <w:rPr>
          <w:rFonts w:ascii="宋体" w:cs="楷体_GB2312"/>
          <w:color w:val="auto"/>
          <w:sz w:val="24"/>
          <w:highlight w:val="none"/>
        </w:rPr>
      </w:pPr>
      <w:r>
        <w:rPr>
          <w:rFonts w:hint="eastAsia" w:ascii="宋体" w:cs="楷体_GB2312"/>
          <w:color w:val="auto"/>
          <w:sz w:val="24"/>
          <w:highlight w:val="none"/>
        </w:rPr>
        <w:t>依法享受扶持政策获得政府采购合同的，小微企业不得将合同分包给大中型企业，中型企业不得将合同分包给大型企业。</w:t>
      </w:r>
    </w:p>
    <w:p w14:paraId="1326C349">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 偏离</w:t>
      </w:r>
    </w:p>
    <w:p w14:paraId="6538F74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谈判文件允许投标文件偏离谈判文件某些要求的，偏离应当符合谈判文件规定的偏离范围和幅度。</w:t>
      </w:r>
    </w:p>
    <w:p w14:paraId="5DFC2948">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highlight w:val="none"/>
          <w:lang w:val="zh-CN"/>
        </w:rPr>
      </w:pPr>
    </w:p>
    <w:p w14:paraId="592316E2">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22" w:name="_Toc206599123"/>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谈判文件</w:t>
      </w:r>
      <w:bookmarkEnd w:id="22"/>
    </w:p>
    <w:p w14:paraId="1F622639">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2.1</w:t>
      </w:r>
      <w:r>
        <w:rPr>
          <w:rFonts w:hint="eastAsia" w:ascii="黑体" w:hAnsi="黑体" w:eastAsia="黑体" w:cs="楷体_GB2312"/>
          <w:b/>
          <w:color w:val="auto"/>
          <w:sz w:val="24"/>
          <w:highlight w:val="none"/>
          <w:lang w:val="zh-CN"/>
        </w:rPr>
        <w:t>谈判文件的组成</w:t>
      </w:r>
      <w:r>
        <w:rPr>
          <w:rFonts w:hint="eastAsia" w:ascii="宋体" w:hAnsi="宋体" w:cs="楷体_GB2312"/>
          <w:color w:val="auto"/>
          <w:sz w:val="24"/>
          <w:highlight w:val="none"/>
          <w:lang w:val="zh-CN"/>
        </w:rPr>
        <w:t>：</w:t>
      </w:r>
    </w:p>
    <w:p w14:paraId="2620096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谈判文件用以阐明采购项目的内容、程序和合同主要条款。谈判文件由下述部分组成：</w:t>
      </w:r>
    </w:p>
    <w:p w14:paraId="38419757">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）谈判公告</w:t>
      </w:r>
    </w:p>
    <w:p w14:paraId="735163A6">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）采购项目及技术、服务要求</w:t>
      </w:r>
    </w:p>
    <w:p w14:paraId="3550939D">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）投标人须知</w:t>
      </w:r>
    </w:p>
    <w:p w14:paraId="64F90419">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）评审办法</w:t>
      </w:r>
    </w:p>
    <w:p w14:paraId="48BDFCB9">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14:paraId="11018A5C">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）投标文件格式</w:t>
      </w:r>
    </w:p>
    <w:p w14:paraId="1AA018D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款、对谈判文件的澄清、修改、补充书构成谈判文件的组成部分，并取代谈判文件中被澄清、修改处，对所有投标人均有约束力。</w:t>
      </w:r>
    </w:p>
    <w:p w14:paraId="63708FF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当谈判文件、谈判文件的澄清、修改、补充等在同一内容的表述上不一致时，以最后发出（发布）的文件为准。</w:t>
      </w:r>
    </w:p>
    <w:p w14:paraId="3DEF2E7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投标人与任何人的口头协议不影响《谈判文件》的任何条款和内容。</w:t>
      </w:r>
    </w:p>
    <w:p w14:paraId="19350B3E">
      <w:pPr>
        <w:autoSpaceDE w:val="0"/>
        <w:autoSpaceDN w:val="0"/>
        <w:adjustRightInd w:val="0"/>
        <w:snapToGrid w:val="0"/>
        <w:spacing w:before="156" w:beforeLines="50" w:line="300" w:lineRule="auto"/>
        <w:ind w:firstLine="539"/>
        <w:rPr>
          <w:rFonts w:ascii="宋体" w:cs="楷体_GB2312"/>
          <w:color w:val="auto"/>
          <w:sz w:val="24"/>
          <w:highlight w:val="none"/>
        </w:rPr>
      </w:pPr>
      <w:r>
        <w:rPr>
          <w:rFonts w:ascii="宋体" w:hAnsi="宋体" w:cs="楷体_GB2312"/>
          <w:color w:val="auto"/>
          <w:sz w:val="24"/>
          <w:highlight w:val="none"/>
        </w:rPr>
        <w:t xml:space="preserve">2.1.5 </w:t>
      </w:r>
      <w:r>
        <w:rPr>
          <w:rFonts w:hint="eastAsia" w:ascii="宋体" w:hAnsi="宋体" w:cs="楷体_GB2312"/>
          <w:color w:val="auto"/>
          <w:sz w:val="24"/>
          <w:highlight w:val="none"/>
        </w:rPr>
        <w:t>投标人应仔细阅读和检查谈判文件的全部内容是否齐全，如发现缺页或附件不全等遗漏，应及时向采购代理机构提出并索取补齐，否则责任及风险自负。</w:t>
      </w:r>
    </w:p>
    <w:p w14:paraId="52C9EF26">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谈判文件的澄清</w:t>
      </w:r>
    </w:p>
    <w:p w14:paraId="2DBCD83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谈判文件的所有潜在投标人对谈判文件如有需澄清的疑问，应在投标人须知前附表规定的时间内按谈判公告中载明的地址以纸质书面形式通知到采购代理机构。在规定的时间内未提出疑问的，将视为对谈判文件的完全认可。</w:t>
      </w:r>
    </w:p>
    <w:p w14:paraId="59A7AB3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采购代理机构对潜在投标人在规定的时间内提出的疑问，将视情况以书面形式予以答复，并在其认为必要时，将不标明查询来源的书面答复，在“谈判公告”所述媒体通告所有潜在投标人。</w:t>
      </w:r>
    </w:p>
    <w:p w14:paraId="3AAF822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谈判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14:paraId="1BB250C1">
      <w:pPr>
        <w:adjustRightInd w:val="0"/>
        <w:snapToGrid w:val="0"/>
        <w:spacing w:before="156" w:beforeLines="50" w:line="300" w:lineRule="auto"/>
        <w:ind w:firstLine="480" w:firstLineChars="200"/>
        <w:jc w:val="left"/>
        <w:rPr>
          <w:rFonts w:ascii="宋体" w:hAns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zh-CN"/>
        </w:rPr>
        <w:t>采购代理机构可视情况在投标截止前答疑。</w:t>
      </w:r>
    </w:p>
    <w:p w14:paraId="0B471EFC">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谈判文件的澄清、修改、补充</w:t>
      </w:r>
    </w:p>
    <w:p w14:paraId="2AA53DA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2.3.1 </w:t>
      </w:r>
      <w:r>
        <w:rPr>
          <w:rFonts w:hint="eastAsia" w:ascii="宋体" w:hAnsi="宋体" w:cs="楷体_GB2312"/>
          <w:color w:val="auto"/>
          <w:sz w:val="24"/>
          <w:highlight w:val="none"/>
          <w:lang w:val="zh-CN"/>
        </w:rPr>
        <w:t>采购人、代理机构在投标截止时间前有权澄清修改、补充已发售的谈判文件。</w:t>
      </w:r>
    </w:p>
    <w:p w14:paraId="38948EA7">
      <w:pPr>
        <w:autoSpaceDE w:val="0"/>
        <w:autoSpaceDN w:val="0"/>
        <w:adjustRightInd w:val="0"/>
        <w:snapToGrid w:val="0"/>
        <w:spacing w:before="156" w:beforeLines="50" w:line="300" w:lineRule="auto"/>
        <w:ind w:firstLine="539"/>
        <w:rPr>
          <w:rFonts w:ascii="宋体" w:hAnsi="宋体"/>
          <w:color w:val="auto"/>
          <w:sz w:val="24"/>
          <w:highlight w:val="none"/>
        </w:rPr>
      </w:pPr>
      <w:r>
        <w:rPr>
          <w:rFonts w:ascii="宋体" w:hAnsi="宋体" w:cs="楷体_GB2312"/>
          <w:color w:val="auto"/>
          <w:sz w:val="24"/>
          <w:highlight w:val="none"/>
          <w:lang w:val="zh-CN"/>
        </w:rPr>
        <w:t>2.3.</w:t>
      </w:r>
      <w:r>
        <w:rPr>
          <w:rFonts w:ascii="宋体" w:hAnsi="宋体"/>
          <w:color w:val="auto"/>
          <w:sz w:val="24"/>
          <w:highlight w:val="none"/>
        </w:rPr>
        <w:t xml:space="preserve">2 </w:t>
      </w:r>
      <w:r>
        <w:rPr>
          <w:rFonts w:hint="eastAsia" w:ascii="宋体" w:hAnsi="宋体"/>
          <w:color w:val="auto"/>
          <w:sz w:val="24"/>
          <w:highlight w:val="none"/>
        </w:rPr>
        <w:t>谈判过程中对谈判文件的变动见第四章评审办法</w:t>
      </w:r>
      <w:r>
        <w:rPr>
          <w:rFonts w:ascii="宋体" w:hAnsi="宋体"/>
          <w:color w:val="auto"/>
          <w:sz w:val="24"/>
          <w:highlight w:val="none"/>
        </w:rPr>
        <w:t>3.5</w:t>
      </w:r>
      <w:r>
        <w:rPr>
          <w:rFonts w:hint="eastAsia" w:ascii="宋体" w:hAnsi="宋体"/>
          <w:color w:val="auto"/>
          <w:sz w:val="24"/>
          <w:highlight w:val="none"/>
        </w:rPr>
        <w:t>款谈判规则。</w:t>
      </w:r>
    </w:p>
    <w:p w14:paraId="3E2C316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谈判文件的澄清、修改、补充的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14:paraId="52B7E1F6">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s="楷体_GB2312"/>
          <w:color w:val="auto"/>
          <w:sz w:val="24"/>
          <w:highlight w:val="none"/>
          <w:lang w:val="zh-CN"/>
        </w:rPr>
        <w:t>谈判文件在投标截止时间前的所有澄清、修改（包括时间变更等）、补充事项，均在“谈判公告”所述媒体予以公告。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14:paraId="672E5D1B">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无权限获知或通知潜在投标人，潜在投标人应随时关注“谈判公告”所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相关项目信息（为免各部门网站出现维护等情况，潜在投标人应对“谈判公告”所述媒体逐一查阅），如有遗漏，后果自负。</w:t>
      </w:r>
    </w:p>
    <w:p w14:paraId="7905C81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w:t>
      </w:r>
      <w:r>
        <w:rPr>
          <w:rFonts w:ascii="宋体" w:cs="楷体_GB2312"/>
          <w:color w:val="auto"/>
          <w:sz w:val="24"/>
          <w:highlight w:val="none"/>
          <w:lang w:val="zh-CN"/>
        </w:rPr>
        <w:t xml:space="preserve"> </w:t>
      </w:r>
      <w:r>
        <w:rPr>
          <w:rFonts w:hint="eastAsia" w:ascii="宋体" w:cs="楷体_GB2312"/>
          <w:color w:val="auto"/>
          <w:sz w:val="24"/>
          <w:highlight w:val="none"/>
          <w:lang w:val="zh-CN"/>
        </w:rPr>
        <w:t>谈判文件的澄清、修改、补充书构成谈判文件的组成部分，并取代谈判文件中被澄清、修改处，对所有投标人均有约束力。</w:t>
      </w:r>
    </w:p>
    <w:p w14:paraId="5798867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投标截止时间前的澄清修改补充发出的时间不满足投标人须知前附表规定时间，并且澄清修改补充内容影响投标文件编制的，代理机构可视采购具体情况延长投标截止时间和开标时间，并将在“谈判公告”所述媒体予以公告。</w:t>
      </w:r>
    </w:p>
    <w:p w14:paraId="5D567D61">
      <w:pPr>
        <w:autoSpaceDE w:val="0"/>
        <w:autoSpaceDN w:val="0"/>
        <w:adjustRightInd w:val="0"/>
        <w:snapToGrid w:val="0"/>
        <w:spacing w:before="156" w:beforeLines="50" w:line="300" w:lineRule="auto"/>
        <w:ind w:firstLine="539"/>
        <w:rPr>
          <w:rFonts w:ascii="宋体" w:cs="楷体_GB2312"/>
          <w:color w:val="auto"/>
          <w:sz w:val="24"/>
          <w:highlight w:val="none"/>
        </w:rPr>
      </w:pPr>
    </w:p>
    <w:p w14:paraId="41ED81A4">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23" w:name="_Toc206599124"/>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投标文件（响应文件）</w:t>
      </w:r>
      <w:bookmarkEnd w:id="23"/>
    </w:p>
    <w:p w14:paraId="013B3EA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3.1</w:t>
      </w:r>
      <w:r>
        <w:rPr>
          <w:rFonts w:hint="eastAsia" w:ascii="宋体" w:hAnsi="宋体" w:cs="楷体_GB2312"/>
          <w:color w:val="auto"/>
          <w:sz w:val="24"/>
          <w:highlight w:val="none"/>
          <w:lang w:val="zh-CN"/>
        </w:rPr>
        <w:t xml:space="preserve"> 投标人应仔细阅读谈判文件的所有内容，按谈判文件的要求提供投标文件（响应文件），并保证所提供全部资料的真实性。投标文件（响应文件）应对谈判文件实质性要求作出实质性响应。谈判小组对投标文件（响应文件）的有效性、完整性和响应程度进行审查，不满足实质性要求的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w:t>
      </w:r>
    </w:p>
    <w:p w14:paraId="670CDEAA">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投标文件（响应文件）的组成</w:t>
      </w:r>
    </w:p>
    <w:p w14:paraId="3F17E89A">
      <w:pPr>
        <w:adjustRightInd w:val="0"/>
        <w:snapToGrid w:val="0"/>
        <w:spacing w:before="156"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投标文件（响应文件）组成如有缺项，谈判小组按照实质性判断原则（实质性要求和实质性响应两因素）、有权视情况将其作无效投标处理，投标人自负此项风险；投标文件组成内容未对谈判文件实质性要求作出实质性响应，谈判小组按照实质性判断原则、视情况将其作无效投标处理，投标人自负此项风险</w:t>
      </w:r>
    </w:p>
    <w:p w14:paraId="20672FF9">
      <w:pPr>
        <w:adjustRightInd w:val="0"/>
        <w:snapToGrid w:val="0"/>
        <w:spacing w:before="156" w:beforeLines="50" w:line="300" w:lineRule="auto"/>
        <w:ind w:firstLine="539"/>
        <w:textAlignment w:val="top"/>
        <w:rPr>
          <w:color w:val="auto"/>
          <w:highlight w:val="none"/>
        </w:rPr>
      </w:pPr>
      <w:r>
        <w:rPr>
          <w:rFonts w:ascii="宋体" w:hAnsi="宋体" w:cs="楷体_GB2312"/>
          <w:color w:val="auto"/>
          <w:sz w:val="24"/>
          <w:highlight w:val="none"/>
          <w:lang w:val="zh-CN"/>
        </w:rPr>
        <w:t xml:space="preserve">3.2.2 </w:t>
      </w:r>
      <w:r>
        <w:rPr>
          <w:rFonts w:hint="eastAsia" w:ascii="宋体" w:hAnsi="宋体" w:cs="楷体_GB2312"/>
          <w:color w:val="auto"/>
          <w:sz w:val="24"/>
          <w:highlight w:val="none"/>
          <w:lang w:val="zh-CN"/>
        </w:rPr>
        <w:t>投标文件（响应文件）应包括下列内容：</w:t>
      </w:r>
    </w:p>
    <w:p w14:paraId="67D1C831">
      <w:pPr>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）投标书。</w:t>
      </w:r>
    </w:p>
    <w:p w14:paraId="471F7EA2">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480E581C">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ascii="宋体" w:hAnsi="宋体"/>
          <w:color w:val="auto"/>
          <w:sz w:val="24"/>
          <w:highlight w:val="none"/>
        </w:rPr>
        <w:t>投标报价明细表</w:t>
      </w:r>
    </w:p>
    <w:p w14:paraId="264AAECE">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）服务方案及服务质量承诺</w:t>
      </w:r>
    </w:p>
    <w:p w14:paraId="4AA72037">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）服务拟投入设备清单及其技术参数</w:t>
      </w:r>
    </w:p>
    <w:p w14:paraId="0D692D57">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）服务拟投入的人员情况表</w:t>
      </w:r>
    </w:p>
    <w:p w14:paraId="50DB7FB3">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）偏差表</w:t>
      </w:r>
    </w:p>
    <w:p w14:paraId="06C626D3">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ascii="宋体" w:hAnsi="宋体"/>
          <w:color w:val="auto"/>
          <w:sz w:val="24"/>
          <w:highlight w:val="none"/>
        </w:rPr>
        <w:t>关于资格的声明函</w:t>
      </w:r>
    </w:p>
    <w:p w14:paraId="313B2393">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ascii="宋体" w:hAnsi="宋体"/>
          <w:color w:val="auto"/>
          <w:sz w:val="24"/>
          <w:highlight w:val="none"/>
        </w:rPr>
        <w:t>反商业贿赂承诺书。</w:t>
      </w:r>
    </w:p>
    <w:p w14:paraId="145D1B28">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ascii="宋体" w:hAnsi="宋体"/>
          <w:color w:val="auto"/>
          <w:sz w:val="24"/>
          <w:highlight w:val="none"/>
        </w:rPr>
        <w:t>履约承诺书。</w:t>
      </w:r>
    </w:p>
    <w:p w14:paraId="6E35FAF6">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11</w:t>
      </w:r>
      <w:r>
        <w:rPr>
          <w:rFonts w:hint="eastAsia" w:ascii="宋体" w:hAnsi="宋体"/>
          <w:color w:val="auto"/>
          <w:sz w:val="24"/>
          <w:highlight w:val="none"/>
        </w:rPr>
        <w:t>）资格要求相关证明材料（文件）</w:t>
      </w:r>
    </w:p>
    <w:p w14:paraId="482890E9">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12</w:t>
      </w:r>
      <w:r>
        <w:rPr>
          <w:rFonts w:hint="eastAsia" w:ascii="宋体" w:hAnsi="宋体"/>
          <w:color w:val="auto"/>
          <w:sz w:val="24"/>
          <w:highlight w:val="none"/>
        </w:rPr>
        <w:t>）采购项目及服务要求所需的其他材料（按条款需要）</w:t>
      </w:r>
    </w:p>
    <w:p w14:paraId="14CC9E7C">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13</w:t>
      </w:r>
      <w:r>
        <w:rPr>
          <w:rFonts w:hint="eastAsia" w:ascii="宋体" w:hAnsi="宋体"/>
          <w:color w:val="auto"/>
          <w:sz w:val="24"/>
          <w:highlight w:val="none"/>
        </w:rPr>
        <w:t>）投标人须知所需的其他材料（按条款需要）</w:t>
      </w:r>
    </w:p>
    <w:p w14:paraId="73CB2D8D">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14</w:t>
      </w:r>
      <w:r>
        <w:rPr>
          <w:rFonts w:hint="eastAsia" w:ascii="宋体" w:hAnsi="宋体"/>
          <w:color w:val="auto"/>
          <w:sz w:val="24"/>
          <w:highlight w:val="none"/>
        </w:rPr>
        <w:t>）评审办法所需的其他材料（按条款需要）</w:t>
      </w:r>
    </w:p>
    <w:p w14:paraId="7D6CE330">
      <w:pPr>
        <w:autoSpaceDE w:val="0"/>
        <w:autoSpaceDN w:val="0"/>
        <w:adjustRightInd w:val="0"/>
        <w:snapToGrid w:val="0"/>
        <w:spacing w:line="300" w:lineRule="auto"/>
        <w:ind w:firstLine="520" w:firstLineChars="217"/>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15</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14:paraId="4421C7EE">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3.4</w:t>
      </w:r>
      <w:r>
        <w:rPr>
          <w:rFonts w:hint="eastAsia" w:ascii="宋体" w:hAnsi="宋体" w:cs="楷体_GB2312"/>
          <w:color w:val="auto"/>
          <w:sz w:val="24"/>
          <w:highlight w:val="none"/>
          <w:lang w:val="zh-CN"/>
        </w:rPr>
        <w:t>款规定，对投标文件（响应文件）的补充、修改、澄清、说明或者更正构成投标文件（响应文件）的组成部分，</w:t>
      </w:r>
    </w:p>
    <w:p w14:paraId="5CEEB2DB">
      <w:pPr>
        <w:topLinePunct/>
        <w:adjustRightInd w:val="0"/>
        <w:snapToGrid w:val="0"/>
        <w:spacing w:before="156" w:beforeLines="50" w:line="300" w:lineRule="auto"/>
        <w:ind w:firstLine="566" w:firstLineChars="235"/>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投标报价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14:paraId="7699F727">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投标有效期</w:t>
      </w:r>
    </w:p>
    <w:p w14:paraId="7045EA53">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zh-CN"/>
        </w:rPr>
        <w:t>投标有效期见投标人须知前附表。投标文件（响应文件）在投标有效期内保持不变（包括价格等投标文件各项条款）。</w:t>
      </w:r>
    </w:p>
    <w:p w14:paraId="328AE0BE">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zh-CN"/>
        </w:rPr>
        <w:t>在投标有效期内，投标人撤销或修改其投标文件（响应文件）的，应承担谈判文件和法律规定的责任。</w:t>
      </w:r>
    </w:p>
    <w:p w14:paraId="2771ECA6">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rPr>
        <w:t>投标承诺函</w:t>
      </w:r>
      <w:r>
        <w:rPr>
          <w:rFonts w:hint="eastAsia" w:ascii="黑体" w:hAnsi="黑体" w:eastAsia="黑体" w:cs="楷体_GB2312"/>
          <w:b/>
          <w:color w:val="auto"/>
          <w:sz w:val="24"/>
          <w:highlight w:val="none"/>
          <w:lang w:val="zh-CN"/>
        </w:rPr>
        <w:t>（</w:t>
      </w:r>
      <w:r>
        <w:rPr>
          <w:rFonts w:hint="eastAsia" w:ascii="黑体" w:hAnsi="黑体" w:eastAsia="黑体" w:cs="楷体_GB2312"/>
          <w:b/>
          <w:color w:val="auto"/>
          <w:sz w:val="24"/>
          <w:highlight w:val="none"/>
        </w:rPr>
        <w:t>替代</w:t>
      </w:r>
      <w:r>
        <w:rPr>
          <w:rFonts w:hint="eastAsia" w:ascii="黑体" w:hAnsi="黑体" w:eastAsia="黑体" w:cs="楷体_GB2312"/>
          <w:b/>
          <w:color w:val="auto"/>
          <w:sz w:val="24"/>
          <w:highlight w:val="none"/>
          <w:lang w:val="zh-CN"/>
        </w:rPr>
        <w:t>投标保证金）：</w:t>
      </w:r>
    </w:p>
    <w:p w14:paraId="491DF21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 xml:space="preserve">3.5.1 </w:t>
      </w:r>
      <w:r>
        <w:rPr>
          <w:rFonts w:hint="eastAsia" w:ascii="宋体" w:hAnsi="宋体"/>
          <w:color w:val="auto"/>
          <w:sz w:val="24"/>
          <w:szCs w:val="24"/>
          <w:highlight w:val="none"/>
        </w:rPr>
        <w:t>按照豫财购〔2019〕4号文件规定，本项目以投标承诺函的形式替代投标保证金，供应商应按附件格式进行投标承诺，违背承诺的将承担相应的法律责任及违约责任。</w:t>
      </w:r>
    </w:p>
    <w:p w14:paraId="4B8D073D">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3.5.2 未提供投标承诺函的为</w:t>
      </w:r>
      <w:r>
        <w:rPr>
          <w:rFonts w:hint="eastAsia" w:ascii="宋体" w:hAnsi="宋体"/>
          <w:b/>
          <w:bCs/>
          <w:color w:val="auto"/>
          <w:sz w:val="24"/>
          <w:szCs w:val="24"/>
          <w:highlight w:val="none"/>
        </w:rPr>
        <w:t>无效投标</w:t>
      </w:r>
      <w:r>
        <w:rPr>
          <w:rFonts w:hint="eastAsia" w:ascii="宋体" w:hAnsi="宋体"/>
          <w:color w:val="auto"/>
          <w:sz w:val="24"/>
          <w:szCs w:val="24"/>
          <w:highlight w:val="none"/>
        </w:rPr>
        <w:t>。</w:t>
      </w:r>
    </w:p>
    <w:p w14:paraId="2C93373C">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3.5.3 投标人的投标承诺函包含投标人承诺的事项及违背承诺的责任追究措施。</w:t>
      </w:r>
    </w:p>
    <w:p w14:paraId="5E97D7BB">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 承诺事项：</w:t>
      </w:r>
    </w:p>
    <w:p w14:paraId="5390C30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3.5.4.1、投标人应遵循公开、公平、公正和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的原则自愿参加项目的投标；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3.5.4.2、投标人在政府采购活动中应提供真实、准确、有效、合法的材料，不</w:t>
      </w:r>
      <w:r>
        <w:rPr>
          <w:rFonts w:hint="eastAsia" w:ascii="宋体" w:hAnsi="宋体"/>
          <w:color w:val="auto"/>
          <w:sz w:val="24"/>
          <w:szCs w:val="24"/>
          <w:highlight w:val="none"/>
          <w:lang w:val="zh-CN"/>
        </w:rPr>
        <w:t>提供虚假材料；</w:t>
      </w:r>
    </w:p>
    <w:p w14:paraId="2605CE5F">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3.5.4.3、投标人</w:t>
      </w:r>
      <w:r>
        <w:rPr>
          <w:rFonts w:hint="eastAsia" w:ascii="宋体" w:hAnsi="宋体"/>
          <w:color w:val="auto"/>
          <w:sz w:val="24"/>
          <w:szCs w:val="24"/>
          <w:highlight w:val="none"/>
          <w:lang w:val="zh-CN"/>
        </w:rPr>
        <w:t>按照</w:t>
      </w:r>
      <w:r>
        <w:rPr>
          <w:rFonts w:hint="eastAsia" w:ascii="宋体" w:hAnsi="宋体"/>
          <w:color w:val="auto"/>
          <w:sz w:val="24"/>
          <w:szCs w:val="24"/>
          <w:highlight w:val="none"/>
        </w:rPr>
        <w:t>谈判</w:t>
      </w:r>
      <w:r>
        <w:rPr>
          <w:rFonts w:hint="eastAsia" w:ascii="宋体" w:hAnsi="宋体"/>
          <w:color w:val="auto"/>
          <w:sz w:val="24"/>
          <w:szCs w:val="24"/>
          <w:highlight w:val="none"/>
          <w:lang w:val="zh-CN"/>
        </w:rPr>
        <w:t>文件规定，在提交投标文件截止时间后，在</w:t>
      </w:r>
      <w:r>
        <w:rPr>
          <w:rFonts w:hint="eastAsia" w:ascii="宋体" w:hAnsi="宋体"/>
          <w:color w:val="auto"/>
          <w:sz w:val="24"/>
          <w:szCs w:val="24"/>
          <w:highlight w:val="none"/>
        </w:rPr>
        <w:t>谈判</w:t>
      </w:r>
      <w:r>
        <w:rPr>
          <w:rFonts w:hint="eastAsia" w:ascii="宋体" w:hAnsi="宋体"/>
          <w:color w:val="auto"/>
          <w:sz w:val="24"/>
          <w:szCs w:val="24"/>
          <w:highlight w:val="none"/>
          <w:lang w:val="zh-CN"/>
        </w:rPr>
        <w:t>文件规定的投标有效期限内不</w:t>
      </w:r>
      <w:r>
        <w:rPr>
          <w:rFonts w:hint="eastAsia" w:ascii="宋体" w:hAnsi="宋体"/>
          <w:color w:val="auto"/>
          <w:sz w:val="24"/>
          <w:szCs w:val="24"/>
          <w:highlight w:val="none"/>
        </w:rPr>
        <w:t>应</w:t>
      </w:r>
      <w:r>
        <w:rPr>
          <w:rFonts w:hint="eastAsia" w:ascii="宋体" w:hAnsi="宋体"/>
          <w:color w:val="auto"/>
          <w:sz w:val="24"/>
          <w:szCs w:val="24"/>
          <w:highlight w:val="none"/>
          <w:lang w:val="zh-CN"/>
        </w:rPr>
        <w:t>撤回投标文件；</w:t>
      </w:r>
    </w:p>
    <w:p w14:paraId="3264757B">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3.5.4.4、不应</w:t>
      </w:r>
      <w:r>
        <w:rPr>
          <w:rFonts w:hint="eastAsia" w:ascii="宋体" w:hAnsi="宋体"/>
          <w:color w:val="auto"/>
          <w:sz w:val="24"/>
          <w:szCs w:val="24"/>
          <w:highlight w:val="none"/>
          <w:lang w:val="zh-CN"/>
        </w:rPr>
        <w:t>与其他投标人、采购人或采购代理机构串通或恶意串通。</w:t>
      </w:r>
    </w:p>
    <w:p w14:paraId="2749DA79">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3.5.4.5、中标后</w:t>
      </w:r>
      <w:r>
        <w:rPr>
          <w:rFonts w:hint="eastAsia" w:ascii="宋体" w:hAnsi="宋体"/>
          <w:color w:val="auto"/>
          <w:sz w:val="24"/>
          <w:szCs w:val="24"/>
          <w:highlight w:val="none"/>
          <w:lang w:val="zh-CN"/>
        </w:rPr>
        <w:t>除不可抗拒力或谈判文件认可的情形外</w:t>
      </w:r>
      <w:r>
        <w:rPr>
          <w:rFonts w:hint="eastAsia" w:ascii="宋体" w:hAnsi="宋体"/>
          <w:color w:val="auto"/>
          <w:sz w:val="24"/>
          <w:szCs w:val="24"/>
          <w:highlight w:val="none"/>
        </w:rPr>
        <w:t>，投标人应及时领取中标通知书，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3.5.4.6、投标人应</w:t>
      </w:r>
      <w:r>
        <w:rPr>
          <w:rFonts w:hint="eastAsia" w:ascii="宋体" w:hAnsi="宋体"/>
          <w:color w:val="auto"/>
          <w:sz w:val="24"/>
          <w:szCs w:val="24"/>
          <w:highlight w:val="none"/>
          <w:lang w:val="zh-CN"/>
        </w:rPr>
        <w:t>遵守法律法规及</w:t>
      </w:r>
      <w:r>
        <w:rPr>
          <w:rFonts w:hint="eastAsia" w:ascii="宋体" w:hAnsi="宋体"/>
          <w:color w:val="auto"/>
          <w:sz w:val="24"/>
          <w:szCs w:val="24"/>
          <w:highlight w:val="none"/>
        </w:rPr>
        <w:t>谈判</w:t>
      </w:r>
      <w:r>
        <w:rPr>
          <w:rFonts w:hint="eastAsia" w:ascii="宋体" w:hAnsi="宋体"/>
          <w:color w:val="auto"/>
          <w:sz w:val="24"/>
          <w:szCs w:val="24"/>
          <w:highlight w:val="none"/>
          <w:lang w:val="zh-CN"/>
        </w:rPr>
        <w:t>文件规定的其他情况；</w:t>
      </w:r>
    </w:p>
    <w:p w14:paraId="03D0F6C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3.5.4.7、投标人应按谈判文件规定及时缴纳中标服务费。</w:t>
      </w:r>
    </w:p>
    <w:p w14:paraId="57D98F53">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 违背承诺的责任追究措施</w:t>
      </w:r>
    </w:p>
    <w:p w14:paraId="3C0F93BF">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投标人如违背上述承诺事项，应无条件接受以下责任追究：</w:t>
      </w:r>
    </w:p>
    <w:p w14:paraId="17394EAE">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3.5.5.1</w:t>
      </w:r>
      <w:r>
        <w:rPr>
          <w:rFonts w:hint="eastAsia" w:ascii="宋体" w:hAnsi="宋体"/>
          <w:color w:val="auto"/>
          <w:sz w:val="24"/>
          <w:szCs w:val="24"/>
          <w:highlight w:val="none"/>
          <w:lang w:val="zh-CN"/>
        </w:rPr>
        <w:t>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07D0B360">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给采购人及他人造成损失的，应承担相应的赔偿责任。</w:t>
      </w:r>
    </w:p>
    <w:p w14:paraId="69C87B60">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w:t>
      </w:r>
      <w:r>
        <w:rPr>
          <w:rFonts w:hint="eastAsia" w:ascii="宋体" w:hAnsi="宋体"/>
          <w:color w:val="auto"/>
          <w:sz w:val="24"/>
          <w:szCs w:val="24"/>
          <w:highlight w:val="none"/>
          <w:lang w:val="zh-CN"/>
        </w:rPr>
        <w:t>违约责任：</w:t>
      </w:r>
      <w:r>
        <w:rPr>
          <w:rFonts w:hint="eastAsia" w:ascii="宋体" w:hAnsi="宋体"/>
          <w:color w:val="auto"/>
          <w:sz w:val="24"/>
          <w:szCs w:val="24"/>
          <w:highlight w:val="none"/>
        </w:rPr>
        <w:t xml:space="preserve"> </w:t>
      </w:r>
    </w:p>
    <w:p w14:paraId="7292DDDE">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3.5.5.2.1 已中标的，中标（成交）无效；</w:t>
      </w:r>
    </w:p>
    <w:p w14:paraId="458296BA">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3.5.5.2.2 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22AF4026">
      <w:pPr>
        <w:widowControl w:val="0"/>
        <w:tabs>
          <w:tab w:val="left" w:pos="65"/>
        </w:tabs>
        <w:spacing w:line="460" w:lineRule="atLeast"/>
        <w:ind w:firstLine="480" w:firstLineChars="200"/>
        <w:textAlignment w:val="auto"/>
        <w:rPr>
          <w:rFonts w:ascii="宋体" w:cs="楷体_GB2312"/>
          <w:color w:val="auto"/>
          <w:sz w:val="24"/>
          <w:highlight w:val="none"/>
          <w:lang w:val="zh-CN"/>
        </w:rPr>
      </w:pPr>
      <w:r>
        <w:rPr>
          <w:rFonts w:hint="eastAsia" w:ascii="宋体" w:hAnsi="宋体"/>
          <w:color w:val="auto"/>
          <w:sz w:val="24"/>
          <w:szCs w:val="24"/>
          <w:highlight w:val="none"/>
        </w:rPr>
        <w:t>3.5.5.2.3中标后未缴中标服</w:t>
      </w:r>
      <w:r>
        <w:rPr>
          <w:rFonts w:hint="eastAsia"/>
          <w:color w:val="auto"/>
          <w:sz w:val="24"/>
          <w:highlight w:val="none"/>
        </w:rPr>
        <w:t>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原则，在履行承诺前，代理机构将视该单位为失信企业、不予办理其后相关业务。</w:t>
      </w:r>
    </w:p>
    <w:p w14:paraId="36CAF377">
      <w:pPr>
        <w:autoSpaceDE w:val="0"/>
        <w:autoSpaceDN w:val="0"/>
        <w:adjustRightInd w:val="0"/>
        <w:spacing w:before="156" w:beforeLines="50" w:line="36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要求见谈判公告</w:t>
      </w:r>
    </w:p>
    <w:p w14:paraId="5F6A0408">
      <w:pPr>
        <w:topLinePunct/>
        <w:adjustRightInd w:val="0"/>
        <w:snapToGrid w:val="0"/>
        <w:spacing w:before="156" w:beforeLines="50" w:line="300" w:lineRule="auto"/>
        <w:ind w:left="561" w:leftChars="267" w:firstLine="5" w:firstLineChars="2"/>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投标文件的编制</w:t>
      </w:r>
    </w:p>
    <w:p w14:paraId="7EF6881D">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3.7.1</w:t>
      </w:r>
      <w:r>
        <w:rPr>
          <w:rFonts w:hint="eastAsia" w:ascii="宋体" w:hAnsi="宋体" w:cs="楷体_GB2312"/>
          <w:color w:val="auto"/>
          <w:sz w:val="24"/>
          <w:highlight w:val="none"/>
          <w:lang w:val="zh-CN"/>
        </w:rPr>
        <w:t>投标文件（响应文件）应按第六章“投标文件格式”进行编写，如有必要，可以增加附页，作为投标文件（响应文件）的组成部分。谈判文件中未列明格式的，由投标人按一般通用格式自行设计编写。</w:t>
      </w:r>
    </w:p>
    <w:p w14:paraId="47D5419D">
      <w:pPr>
        <w:widowControl w:val="0"/>
        <w:adjustRightInd w:val="0"/>
        <w:spacing w:before="156" w:beforeLines="50" w:line="30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投标文件编制后，</w:t>
      </w:r>
      <w:r>
        <w:rPr>
          <w:rFonts w:hint="eastAsia" w:ascii="宋体" w:hAnsi="宋体"/>
          <w:color w:val="auto"/>
          <w:sz w:val="24"/>
          <w:szCs w:val="24"/>
          <w:highlight w:val="none"/>
        </w:rPr>
        <w:t>投标人应在投标截止时间前上传加密的电子投标文件（*.aytf）到殷都区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殷都区公共资源交易平台将拒绝接收。</w:t>
      </w:r>
    </w:p>
    <w:p w14:paraId="34F5C26B">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 xml:space="preserve">3.7.2 </w:t>
      </w:r>
      <w:r>
        <w:rPr>
          <w:rFonts w:hint="eastAsia" w:ascii="宋体" w:hAnsi="宋体" w:cs="楷体_GB2312"/>
          <w:color w:val="auto"/>
          <w:sz w:val="24"/>
          <w:highlight w:val="none"/>
          <w:lang w:val="zh-CN"/>
        </w:rPr>
        <w:t>“投标文件格式”仅为对投标文件（响应文件）部分内容的格式化规范，并非投标文件所应具备的全部内容。投标人应按本章“</w:t>
      </w:r>
      <w:r>
        <w:rPr>
          <w:rFonts w:ascii="宋体" w:hAnsi="宋体" w:cs="楷体_GB2312"/>
          <w:color w:val="auto"/>
          <w:sz w:val="24"/>
          <w:highlight w:val="none"/>
          <w:lang w:val="zh-CN"/>
        </w:rPr>
        <w:t>3.2</w:t>
      </w:r>
      <w:r>
        <w:rPr>
          <w:rFonts w:hint="eastAsia" w:ascii="宋体" w:hAnsi="宋体" w:cs="楷体_GB2312"/>
          <w:color w:val="auto"/>
          <w:sz w:val="24"/>
          <w:highlight w:val="none"/>
          <w:lang w:val="zh-CN"/>
        </w:rPr>
        <w:t>投标文件的组成”列示内容编制投标文件（响应文件）。</w:t>
      </w:r>
    </w:p>
    <w:p w14:paraId="42E50450">
      <w:pPr>
        <w:adjustRightInd w:val="0"/>
        <w:snapToGrid w:val="0"/>
        <w:spacing w:before="156"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w:t>
      </w:r>
      <w:r>
        <w:rPr>
          <w:rFonts w:asci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文件（响应文件）应当对谈判文件有关标段（包）内容（范围）、技术要求、售后服务、服务期、投标有效期等实质性内容作出响应。在满足谈判文件实质性要求的基础上，可以提出比谈判文件要求更有利于采购人的承诺。并符合谈判文件偏差规定。</w:t>
      </w:r>
    </w:p>
    <w:p w14:paraId="34BE022E">
      <w:pPr>
        <w:adjustRightInd w:val="0"/>
        <w:snapToGrid w:val="0"/>
        <w:spacing w:before="156" w:beforeLines="50" w:line="300" w:lineRule="auto"/>
        <w:ind w:firstLine="480" w:firstLineChars="200"/>
        <w:rPr>
          <w:rFonts w:ascii="宋体" w:cs="楷体_GB2312"/>
          <w:color w:val="auto"/>
          <w:sz w:val="24"/>
          <w:highlight w:val="none"/>
          <w:lang w:val="zh-CN"/>
        </w:rPr>
      </w:pPr>
      <w:r>
        <w:rPr>
          <w:rFonts w:hint="eastAsia" w:ascii="宋体" w:hAnsi="宋体" w:cs="楷体_GB2312"/>
          <w:color w:val="auto"/>
          <w:sz w:val="24"/>
          <w:highlight w:val="none"/>
          <w:lang w:val="zh-CN"/>
        </w:rPr>
        <w:t>投标文件（响应文件）的所有条款与谈判文件要求有任何不同之处，应按《偏差表》格式逐一填列。投标文件（响应文件）与谈判文件所有要求存在偏差而未填列的，谈判小组有权按照实质性判断原则（实质性要求和实质性响应两因素）评定其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。投标人应认真编制投标文件（响应文件）并自负此项风险。</w:t>
      </w:r>
    </w:p>
    <w:p w14:paraId="177FD43F">
      <w:pPr>
        <w:autoSpaceDE w:val="0"/>
        <w:autoSpaceDN w:val="0"/>
        <w:adjustRightInd w:val="0"/>
        <w:snapToGrid w:val="0"/>
        <w:spacing w:before="156" w:beforeLines="50" w:line="300" w:lineRule="auto"/>
        <w:ind w:firstLine="539"/>
        <w:rPr>
          <w:rFonts w:ascii="宋体" w:cs="楷体_GB2312"/>
          <w:b/>
          <w:color w:val="auto"/>
          <w:sz w:val="24"/>
          <w:highlight w:val="none"/>
        </w:rPr>
      </w:pPr>
      <w:r>
        <w:rPr>
          <w:rFonts w:ascii="宋体" w:hAnsi="宋体" w:cs="楷体_GB2312"/>
          <w:b/>
          <w:color w:val="auto"/>
          <w:sz w:val="24"/>
          <w:highlight w:val="none"/>
          <w:lang w:val="zh-CN"/>
        </w:rPr>
        <w:t>3.7.</w:t>
      </w:r>
      <w:r>
        <w:rPr>
          <w:rFonts w:hint="eastAsia" w:ascii="宋体" w:hAnsi="宋体" w:cs="楷体_GB2312"/>
          <w:b/>
          <w:color w:val="auto"/>
          <w:sz w:val="24"/>
          <w:highlight w:val="none"/>
          <w:lang w:val="zh-CN"/>
        </w:rPr>
        <w:t>4</w:t>
      </w:r>
      <w:r>
        <w:rPr>
          <w:rFonts w:ascii="宋体" w:hAnsi="宋体" w:cs="楷体_GB2312"/>
          <w:b/>
          <w:color w:val="auto"/>
          <w:sz w:val="24"/>
          <w:highlight w:val="none"/>
          <w:lang w:val="zh-CN"/>
        </w:rPr>
        <w:t xml:space="preserve"> </w:t>
      </w:r>
      <w:r>
        <w:rPr>
          <w:rFonts w:hint="eastAsia" w:ascii="宋体" w:hAnsi="宋体" w:cs="楷体_GB2312"/>
          <w:b/>
          <w:color w:val="auto"/>
          <w:sz w:val="24"/>
          <w:highlight w:val="none"/>
          <w:lang w:val="zh-CN"/>
        </w:rPr>
        <w:t>投标文件（响应文件）</w:t>
      </w:r>
      <w:r>
        <w:rPr>
          <w:rFonts w:hint="eastAsia" w:ascii="宋体" w:hAnsi="宋体" w:cs="楷体_GB2312"/>
          <w:b/>
          <w:color w:val="auto"/>
          <w:sz w:val="24"/>
          <w:highlight w:val="none"/>
        </w:rPr>
        <w:t>应</w:t>
      </w:r>
      <w:r>
        <w:rPr>
          <w:rFonts w:hint="eastAsia" w:ascii="宋体" w:hAnsi="宋体" w:cs="楷体_GB2312"/>
          <w:b/>
          <w:color w:val="auto"/>
          <w:sz w:val="24"/>
          <w:highlight w:val="none"/>
          <w:lang w:val="zh-CN"/>
        </w:rPr>
        <w:t>按谈判文件相关要求（含格式上标注的要求）、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签名（签章）并加密的响应文件，属于未按照谈判文件要求进行签署。</w:t>
      </w:r>
    </w:p>
    <w:p w14:paraId="1A6D354B">
      <w:pPr>
        <w:autoSpaceDE w:val="0"/>
        <w:autoSpaceDN w:val="0"/>
        <w:adjustRightInd w:val="0"/>
        <w:snapToGrid w:val="0"/>
        <w:spacing w:before="156" w:beforeLines="50" w:line="300" w:lineRule="auto"/>
        <w:ind w:firstLine="539"/>
        <w:rPr>
          <w:rFonts w:ascii="宋体" w:cs="楷体_GB2312"/>
          <w:color w:val="auto"/>
          <w:sz w:val="24"/>
          <w:highlight w:val="none"/>
        </w:rPr>
      </w:pPr>
      <w:r>
        <w:rPr>
          <w:rFonts w:hint="eastAsia" w:ascii="宋体" w:hAnsi="宋体" w:cs="楷体_GB2312"/>
          <w:b/>
          <w:color w:val="auto"/>
          <w:sz w:val="24"/>
          <w:highlight w:val="none"/>
        </w:rPr>
        <w:t>根据《中华人民共和国电子签名法》规定，可靠的电子签名与手写签名或者盖章具有同等的法律效力。本次采购活动中，供应商使用有效的企业数字证书对响应文件进行电子签章与加盖投标</w:t>
      </w:r>
      <w:r>
        <w:rPr>
          <w:rFonts w:ascii="宋体" w:hAnsi="宋体" w:cs="楷体_GB2312"/>
          <w:b/>
          <w:color w:val="auto"/>
          <w:sz w:val="24"/>
          <w:highlight w:val="none"/>
        </w:rPr>
        <w:t>人公</w:t>
      </w:r>
      <w:r>
        <w:rPr>
          <w:rFonts w:hint="eastAsia" w:ascii="宋体" w:hAnsi="宋体" w:cs="楷体_GB2312"/>
          <w:b/>
          <w:color w:val="auto"/>
          <w:sz w:val="24"/>
          <w:highlight w:val="none"/>
        </w:rPr>
        <w:t>章具有同等法律效力；供应商法定代表人使用有效的个人数字证书对响应文件进行签名（签章）与法人签章具有同等法律效力。</w:t>
      </w:r>
    </w:p>
    <w:p w14:paraId="786944CB">
      <w:pPr>
        <w:adjustRightInd w:val="0"/>
        <w:snapToGrid w:val="0"/>
        <w:spacing w:before="156"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3.7.5</w:t>
      </w:r>
      <w:r>
        <w:rPr>
          <w:rFonts w:hint="eastAsia" w:ascii="宋体" w:hAnsi="宋体" w:cs="楷体_GB2312"/>
          <w:color w:val="auto"/>
          <w:sz w:val="24"/>
          <w:highlight w:val="none"/>
          <w:lang w:val="zh-CN"/>
        </w:rPr>
        <w:t>投标人可对本谈判文件“标段（包）一览表”中所列的所有标段（包）进行分别投标，也可选择其中一个标段（包）或几个标段（包）投标，但不得将谈判文件规定的同一标段（包）的内容拆开投标，否则将按</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处理。</w:t>
      </w:r>
    </w:p>
    <w:p w14:paraId="21FA0E0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投标文件（响应文件）因字迹或表述不清所引起的后果由投标人自行负责。</w:t>
      </w:r>
    </w:p>
    <w:p w14:paraId="63DE5F6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未按上述要求提供的投标文件（响应文件）将视为</w:t>
      </w:r>
      <w:r>
        <w:rPr>
          <w:rFonts w:hint="eastAsia" w:ascii="宋体" w:hAnsi="宋体" w:cs="楷体_GB2312"/>
          <w:b/>
          <w:color w:val="auto"/>
          <w:sz w:val="24"/>
          <w:highlight w:val="none"/>
          <w:lang w:val="zh-CN"/>
        </w:rPr>
        <w:t>无效投标。</w:t>
      </w:r>
    </w:p>
    <w:p w14:paraId="12D183FD">
      <w:pPr>
        <w:autoSpaceDE w:val="0"/>
        <w:autoSpaceDN w:val="0"/>
        <w:adjustRightInd w:val="0"/>
        <w:spacing w:line="360" w:lineRule="auto"/>
        <w:ind w:firstLine="539"/>
        <w:rPr>
          <w:rFonts w:ascii="黑体" w:hAnsi="黑体" w:eastAsia="黑体" w:cs="楷体_GB2312"/>
          <w:b/>
          <w:bCs/>
          <w:color w:val="auto"/>
          <w:sz w:val="28"/>
          <w:szCs w:val="28"/>
          <w:highlight w:val="none"/>
          <w:lang w:val="zh-CN"/>
        </w:rPr>
      </w:pPr>
    </w:p>
    <w:p w14:paraId="5A237C7D">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24" w:name="_Toc206599125"/>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投标（响应文件的递交）</w:t>
      </w:r>
      <w:bookmarkEnd w:id="24"/>
    </w:p>
    <w:p w14:paraId="5754908F">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4.1 </w:t>
      </w:r>
      <w:r>
        <w:rPr>
          <w:rFonts w:hint="eastAsia" w:ascii="黑体" w:hAnsi="黑体" w:eastAsia="黑体" w:cs="楷体_GB2312"/>
          <w:b/>
          <w:color w:val="auto"/>
          <w:sz w:val="24"/>
          <w:highlight w:val="none"/>
          <w:lang w:val="zh-CN"/>
        </w:rPr>
        <w:t>投标文件（响应文件）的加</w:t>
      </w:r>
      <w:r>
        <w:rPr>
          <w:rFonts w:ascii="黑体" w:hAnsi="黑体" w:eastAsia="黑体" w:cs="楷体_GB2312"/>
          <w:b/>
          <w:color w:val="auto"/>
          <w:sz w:val="24"/>
          <w:highlight w:val="none"/>
          <w:lang w:val="zh-CN"/>
        </w:rPr>
        <w:t>密</w:t>
      </w:r>
      <w:r>
        <w:rPr>
          <w:rFonts w:hint="eastAsia" w:ascii="黑体" w:hAnsi="黑体" w:eastAsia="黑体" w:cs="楷体_GB2312"/>
          <w:b/>
          <w:color w:val="auto"/>
          <w:sz w:val="24"/>
          <w:highlight w:val="none"/>
          <w:lang w:val="zh-CN"/>
        </w:rPr>
        <w:t>和标记：</w:t>
      </w:r>
    </w:p>
    <w:p w14:paraId="0240D342">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25" w:name="OLE_LINK2"/>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投标文件（响应文件）应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投标文件（响应文件）提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投标文件（响应文件）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传至谈判公告所述网上电子交易系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14:paraId="21ACF667">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26"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投标文件（响应文件）没有按照上述要求进行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拒收其投标文件（响应文件），投标人应自负该项风险，采购代理机构对可能产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25"/>
      <w:bookmarkEnd w:id="26"/>
      <w:bookmarkStart w:id="27" w:name="_Toc296602445"/>
    </w:p>
    <w:p w14:paraId="2440A80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投标文件的递交</w:t>
      </w:r>
      <w:bookmarkEnd w:id="27"/>
    </w:p>
    <w:p w14:paraId="55307848">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4.2.1</w:t>
      </w:r>
      <w:r>
        <w:rPr>
          <w:rFonts w:hint="eastAsia" w:ascii="宋体" w:hAnsi="宋体"/>
          <w:color w:val="auto"/>
          <w:sz w:val="24"/>
          <w:szCs w:val="24"/>
          <w:highlight w:val="none"/>
        </w:rPr>
        <w:t>投标人应在投标截止时间前上传加密的电子投标文件（*.aytf）到殷都区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殷都区公共资源交易平台将拒绝接收。</w:t>
      </w:r>
    </w:p>
    <w:p w14:paraId="504BB141">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投标文件（响应文件）提交截止时间后，系统将自动锁定已经提交的电子投标文件（响应文件），拒绝再次提交。投</w:t>
      </w:r>
      <w:r>
        <w:rPr>
          <w:rFonts w:ascii="宋体" w:hAnsi="宋体" w:cs="楷体_GB2312"/>
          <w:b/>
          <w:color w:val="auto"/>
          <w:sz w:val="24"/>
          <w:highlight w:val="none"/>
          <w:lang w:val="zh-CN"/>
        </w:rPr>
        <w:t>标人</w:t>
      </w:r>
      <w:r>
        <w:rPr>
          <w:rFonts w:hint="eastAsia" w:ascii="宋体" w:hAnsi="宋体" w:cs="楷体_GB2312"/>
          <w:b/>
          <w:color w:val="auto"/>
          <w:sz w:val="24"/>
          <w:highlight w:val="none"/>
          <w:lang w:val="zh-CN"/>
        </w:rPr>
        <w:t>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的投标文件（响应文件）</w:t>
      </w:r>
    </w:p>
    <w:p w14:paraId="04E3D9A3">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由于不可抗拒的原因，代理机构对投标文件（响应文件）的遗失和损坏不负任何责任。</w:t>
      </w:r>
    </w:p>
    <w:p w14:paraId="2AD03C6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除投标人须知前附表另有规定外，投标人所递交的投标文件（响应文件）不予退还。</w:t>
      </w:r>
    </w:p>
    <w:p w14:paraId="4BA4664F">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14:paraId="75E64F3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投标文件（响应文件）的修改与撤回</w:t>
      </w:r>
      <w:r>
        <w:rPr>
          <w:rFonts w:hint="eastAsia" w:ascii="宋体" w:hAnsi="宋体" w:cs="楷体_GB2312"/>
          <w:color w:val="auto"/>
          <w:sz w:val="24"/>
          <w:highlight w:val="none"/>
          <w:lang w:val="zh-CN"/>
        </w:rPr>
        <w:t>：</w:t>
      </w:r>
    </w:p>
    <w:p w14:paraId="5D98C82C">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投标人于提交投标文件（响应文件）截止时间前如对投标文件进行补充、修改，可以上传新的投标文件进行覆盖。投标人如撤回投标文件，应及时书面通知采购代理机构进行办理。</w:t>
      </w:r>
    </w:p>
    <w:p w14:paraId="523D29F6">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投标人在投标文件（响应文件）提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p>
    <w:p w14:paraId="7D0A62DC">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34A455A6">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28" w:name="_Toc206599126"/>
      <w:r>
        <w:rPr>
          <w:rFonts w:ascii="黑体" w:hAnsi="黑体" w:eastAsia="黑体" w:cs="楷体_GB2312"/>
          <w:b/>
          <w:bCs/>
          <w:color w:val="auto"/>
          <w:sz w:val="28"/>
          <w:szCs w:val="28"/>
          <w:highlight w:val="none"/>
          <w:lang w:val="zh-CN"/>
        </w:rPr>
        <w:t xml:space="preserve">5. </w:t>
      </w:r>
      <w:r>
        <w:rPr>
          <w:rFonts w:hint="eastAsia" w:ascii="黑体" w:hAnsi="黑体" w:eastAsia="黑体" w:cs="楷体_GB2312"/>
          <w:b/>
          <w:bCs/>
          <w:color w:val="auto"/>
          <w:sz w:val="28"/>
          <w:szCs w:val="28"/>
          <w:highlight w:val="none"/>
          <w:lang w:val="zh-CN"/>
        </w:rPr>
        <w:t>开标（响应文件的开启）</w:t>
      </w:r>
      <w:bookmarkEnd w:id="28"/>
    </w:p>
    <w:p w14:paraId="1911B212">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开标时间和地点</w:t>
      </w:r>
    </w:p>
    <w:p w14:paraId="676729D6">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采购人和采购代理机构按谈判公告规定的时间和地点于</w:t>
      </w:r>
      <w:r>
        <w:rPr>
          <w:rFonts w:ascii="宋体" w:hAnsi="宋体" w:cs="楷体_GB2312"/>
          <w:b/>
          <w:color w:val="auto"/>
          <w:sz w:val="24"/>
          <w:highlight w:val="none"/>
          <w:lang w:val="zh-CN"/>
        </w:rPr>
        <w:t>网上</w:t>
      </w:r>
      <w:r>
        <w:rPr>
          <w:rFonts w:hint="eastAsia" w:ascii="宋体" w:hAnsi="宋体" w:cs="楷体_GB2312"/>
          <w:b/>
          <w:color w:val="auto"/>
          <w:sz w:val="24"/>
          <w:highlight w:val="none"/>
          <w:lang w:val="zh-CN"/>
        </w:rPr>
        <w:t>（谈判公告所述网上电子交易系统</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公开开标。</w:t>
      </w:r>
    </w:p>
    <w:p w14:paraId="3A2DBBAE">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771DB22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开标程序</w:t>
      </w:r>
    </w:p>
    <w:p w14:paraId="5F368528">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5.2.1</w:t>
      </w:r>
      <w:r>
        <w:rPr>
          <w:rFonts w:hint="eastAsia" w:ascii="宋体" w:hAnsi="宋体" w:cs="楷体_GB2312"/>
          <w:b/>
          <w:color w:val="auto"/>
          <w:sz w:val="24"/>
          <w:highlight w:val="none"/>
          <w:lang w:val="zh-CN"/>
        </w:rPr>
        <w:t xml:space="preserve"> 本项目为网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电子交易方</w:t>
      </w:r>
      <w:r>
        <w:rPr>
          <w:rFonts w:ascii="宋体" w:hAnsi="宋体" w:cs="楷体_GB2312"/>
          <w:b/>
          <w:color w:val="auto"/>
          <w:sz w:val="24"/>
          <w:highlight w:val="none"/>
          <w:lang w:val="zh-CN"/>
        </w:rPr>
        <w:t>式，</w:t>
      </w:r>
      <w:r>
        <w:rPr>
          <w:rFonts w:hint="eastAsia" w:ascii="宋体" w:hAnsi="宋体" w:cs="楷体_GB2312"/>
          <w:b/>
          <w:color w:val="auto"/>
          <w:sz w:val="24"/>
          <w:highlight w:val="none"/>
          <w:lang w:val="zh-CN"/>
        </w:rPr>
        <w:t>投标文件（响应文件）的开启方式为远程解密，为保证开标工作顺利进行，投标人需在开标阶段</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管理员下达解密指令后的指定时限内，完成对本单位的加密投标文件（响应文件）的远程解密。如投标人因自身原因、在指定时限内没</w:t>
      </w:r>
      <w:r>
        <w:rPr>
          <w:rFonts w:ascii="宋体" w:hAnsi="宋体" w:cs="楷体_GB2312"/>
          <w:b/>
          <w:color w:val="auto"/>
          <w:sz w:val="24"/>
          <w:highlight w:val="none"/>
          <w:lang w:val="zh-CN"/>
        </w:rPr>
        <w:t>有</w:t>
      </w:r>
      <w:r>
        <w:rPr>
          <w:rFonts w:hint="eastAsia" w:ascii="宋体" w:hAnsi="宋体" w:cs="楷体_GB2312"/>
          <w:b/>
          <w:color w:val="auto"/>
          <w:sz w:val="24"/>
          <w:highlight w:val="none"/>
          <w:lang w:val="zh-CN"/>
        </w:rPr>
        <w:t>解密成功的，其投标将不能被接受，投标人自行承担相应后果。</w:t>
      </w:r>
    </w:p>
    <w:p w14:paraId="665092DC">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14:paraId="151AC2F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b/>
          <w:color w:val="auto"/>
          <w:sz w:val="24"/>
          <w:highlight w:val="none"/>
          <w:lang w:val="zh-CN"/>
        </w:rPr>
        <w:t>5.2.2</w:t>
      </w:r>
      <w:r>
        <w:rPr>
          <w:rFonts w:hint="eastAsia" w:ascii="宋体" w:hAnsi="宋体" w:cs="楷体_GB2312"/>
          <w:b/>
          <w:color w:val="auto"/>
          <w:sz w:val="24"/>
          <w:highlight w:val="none"/>
          <w:lang w:val="zh-CN"/>
        </w:rPr>
        <w:t xml:space="preserve"> 投标人对开标过程和开标记录有疑义，以及认为采购人、采购代理机构相关工作人员有需要回避的情形的，应在系统中提出询问或者回避申请，否则，视为对开标无异议。</w:t>
      </w:r>
    </w:p>
    <w:p w14:paraId="2430700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5.2.3 </w:t>
      </w:r>
      <w:r>
        <w:rPr>
          <w:rFonts w:hint="eastAsia" w:ascii="宋体" w:hAnsi="宋体" w:cs="楷体_GB2312"/>
          <w:color w:val="auto"/>
          <w:sz w:val="24"/>
          <w:highlight w:val="none"/>
          <w:lang w:val="zh-CN"/>
        </w:rPr>
        <w:t>在开标或评审过程中，有效投标应在三家以上（包括三家）；有效投标不足三家的应予终止（废标）。</w:t>
      </w:r>
    </w:p>
    <w:p w14:paraId="3C8ED6DE">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1566A5DE">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29" w:name="_Toc206599127"/>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评审</w:t>
      </w:r>
      <w:bookmarkEnd w:id="29"/>
    </w:p>
    <w:p w14:paraId="1E046BF6">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谈判小组</w:t>
      </w:r>
    </w:p>
    <w:p w14:paraId="72FBB6ED">
      <w:pPr>
        <w:autoSpaceDE w:val="0"/>
        <w:autoSpaceDN w:val="0"/>
        <w:adjustRightInd w:val="0"/>
        <w:snapToGrid w:val="0"/>
        <w:spacing w:before="156"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评审工作由依法组建的谈判小组负责。谈判小组由3人及以上单数组成，评审专家是在监督部门监督下从政府采购专家库中随机抽取产生。</w:t>
      </w:r>
    </w:p>
    <w:p w14:paraId="6271B51E">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评审原则</w:t>
      </w:r>
    </w:p>
    <w:p w14:paraId="67C7BEC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6.2.1 </w:t>
      </w:r>
      <w:r>
        <w:rPr>
          <w:rFonts w:hint="eastAsia" w:ascii="宋体" w:hAnsi="宋体" w:cs="楷体_GB2312"/>
          <w:color w:val="auto"/>
          <w:sz w:val="24"/>
          <w:highlight w:val="none"/>
          <w:lang w:val="zh-CN"/>
        </w:rPr>
        <w:t>坚持公开、公平、公正地对待所有投标人。</w:t>
      </w:r>
    </w:p>
    <w:p w14:paraId="573DB40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6.2.2 </w:t>
      </w:r>
      <w:r>
        <w:rPr>
          <w:rFonts w:hint="eastAsia" w:ascii="宋体" w:hAnsi="宋体" w:cs="楷体_GB2312"/>
          <w:color w:val="auto"/>
          <w:sz w:val="24"/>
          <w:highlight w:val="none"/>
          <w:lang w:val="zh-CN"/>
        </w:rPr>
        <w:t>按照同一评审程序及方法审查所有投标人的投标文件。</w:t>
      </w:r>
    </w:p>
    <w:p w14:paraId="1BF2FAB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6.2.3 </w:t>
      </w:r>
      <w:r>
        <w:rPr>
          <w:rFonts w:hint="eastAsia" w:ascii="宋体" w:hAnsi="宋体" w:cs="楷体_GB2312"/>
          <w:color w:val="auto"/>
          <w:sz w:val="24"/>
          <w:highlight w:val="none"/>
          <w:lang w:val="zh-CN"/>
        </w:rPr>
        <w:t>反对不正当竞争</w:t>
      </w:r>
    </w:p>
    <w:p w14:paraId="18697C88">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评审</w:t>
      </w:r>
    </w:p>
    <w:p w14:paraId="108CA1B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6.3.1</w:t>
      </w:r>
      <w:r>
        <w:rPr>
          <w:rFonts w:hint="eastAsia" w:ascii="宋体" w:hAnsi="宋体" w:cs="楷体_GB2312"/>
          <w:color w:val="auto"/>
          <w:sz w:val="24"/>
          <w:highlight w:val="none"/>
          <w:lang w:val="zh-CN"/>
        </w:rPr>
        <w:t xml:space="preserve"> 评审工作在谈判小组内独立进行。谈判小组按照第四章“评审办法”规定的方法、评审因素、标准和程序对投标文件进行评审。第四章“评审办法”没有规定的方法、评审因素和标准，不作为评审依据。</w:t>
      </w:r>
    </w:p>
    <w:p w14:paraId="44393408">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6.3.2</w:t>
      </w:r>
      <w:r>
        <w:rPr>
          <w:rFonts w:hint="eastAsia" w:ascii="宋体" w:hAnsi="宋体" w:cs="楷体_GB2312"/>
          <w:color w:val="auto"/>
          <w:sz w:val="24"/>
          <w:highlight w:val="none"/>
          <w:lang w:val="zh-CN"/>
        </w:rPr>
        <w:t xml:space="preserve"> 在开标、评审期间，投标人不得向谈判小组成员询问情况，不得进行旨在影响评审结果的活动。</w:t>
      </w:r>
    </w:p>
    <w:p w14:paraId="111309B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6.4 </w:t>
      </w:r>
      <w:r>
        <w:rPr>
          <w:rFonts w:hint="eastAsia" w:ascii="黑体" w:hAnsi="黑体" w:eastAsia="黑体" w:cs="楷体_GB2312"/>
          <w:b/>
          <w:color w:val="auto"/>
          <w:sz w:val="24"/>
          <w:highlight w:val="none"/>
          <w:lang w:val="zh-CN"/>
        </w:rPr>
        <w:t xml:space="preserve"> 谈判：</w:t>
      </w:r>
      <w:r>
        <w:rPr>
          <w:rFonts w:hint="eastAsia" w:ascii="宋体" w:hAnsi="宋体" w:cs="楷体_GB2312"/>
          <w:color w:val="auto"/>
          <w:sz w:val="24"/>
          <w:highlight w:val="none"/>
          <w:lang w:val="zh-CN"/>
        </w:rPr>
        <w:t>见第四章评审办法</w:t>
      </w:r>
      <w:r>
        <w:rPr>
          <w:rFonts w:ascii="宋体" w:hAnsi="宋体" w:cs="楷体_GB2312"/>
          <w:color w:val="auto"/>
          <w:sz w:val="24"/>
          <w:highlight w:val="none"/>
          <w:lang w:val="zh-CN"/>
        </w:rPr>
        <w:t>3.5</w:t>
      </w:r>
      <w:r>
        <w:rPr>
          <w:rFonts w:hint="eastAsia" w:ascii="宋体" w:hAnsi="宋体" w:cs="楷体_GB2312"/>
          <w:color w:val="auto"/>
          <w:sz w:val="24"/>
          <w:highlight w:val="none"/>
          <w:lang w:val="zh-CN"/>
        </w:rPr>
        <w:t>款谈判规则。</w:t>
      </w:r>
    </w:p>
    <w:p w14:paraId="7C3746A7">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1F2D4B26">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0" w:name="_Toc206599128"/>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授予合同</w:t>
      </w:r>
      <w:bookmarkEnd w:id="30"/>
    </w:p>
    <w:p w14:paraId="092634C9">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确定成交供应商方式</w:t>
      </w:r>
    </w:p>
    <w:p w14:paraId="1C073C2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除投标人须知前附表规定授权谈判小组直接确定成交供应商外，采购人应当自收到评审报告之日起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14:paraId="096887A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成交结果公告</w:t>
      </w:r>
    </w:p>
    <w:p w14:paraId="3F648D7A">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采购代理机构在成交供应商确定当天即时在谈判公告所述媒体公告成交结果。同时向成交供应商发出成交通知书。成交结果公告期限为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14:paraId="19FCF48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质疑、投诉：</w:t>
      </w:r>
    </w:p>
    <w:p w14:paraId="55D25D1F">
      <w:pPr>
        <w:autoSpaceDE w:val="0"/>
        <w:autoSpaceDN w:val="0"/>
        <w:adjustRightInd w:val="0"/>
        <w:snapToGrid w:val="0"/>
        <w:spacing w:before="156" w:beforeLines="50" w:line="300" w:lineRule="auto"/>
        <w:ind w:firstLine="537" w:firstLineChars="224"/>
        <w:rPr>
          <w:rFonts w:ascii="宋体" w:cs="楷体_GB2312"/>
          <w:color w:val="auto"/>
          <w:sz w:val="24"/>
          <w:highlight w:val="none"/>
          <w:lang w:val="zh-CN"/>
        </w:rPr>
      </w:pPr>
      <w:r>
        <w:rPr>
          <w:rFonts w:ascii="宋体" w:hAnsi="宋体"/>
          <w:color w:val="auto"/>
          <w:sz w:val="24"/>
          <w:highlight w:val="none"/>
        </w:rPr>
        <w:t>7.3.1</w:t>
      </w:r>
      <w:r>
        <w:rPr>
          <w:rFonts w:hint="eastAsia" w:ascii="宋体" w:hAnsi="宋体" w:cs="楷体_GB2312"/>
          <w:color w:val="auto"/>
          <w:sz w:val="24"/>
          <w:highlight w:val="none"/>
          <w:lang w:val="zh-CN"/>
        </w:rPr>
        <w:t>见投标人须知前附表</w:t>
      </w:r>
    </w:p>
    <w:p w14:paraId="7B6C062D">
      <w:pPr>
        <w:adjustRightInd w:val="0"/>
        <w:snapToGrid w:val="0"/>
        <w:spacing w:before="156" w:beforeLines="50" w:line="240" w:lineRule="auto"/>
        <w:ind w:firstLine="600" w:firstLineChars="250"/>
        <w:rPr>
          <w:rFonts w:ascii="宋体"/>
          <w:color w:val="auto"/>
          <w:sz w:val="24"/>
          <w:highlight w:val="none"/>
        </w:rPr>
      </w:pPr>
      <w:r>
        <w:rPr>
          <w:rFonts w:ascii="宋体" w:hAnsi="宋体"/>
          <w:color w:val="auto"/>
          <w:sz w:val="24"/>
          <w:highlight w:val="none"/>
        </w:rPr>
        <w:t>7.3.2</w:t>
      </w:r>
      <w:r>
        <w:rPr>
          <w:rFonts w:hint="eastAsia" w:ascii="宋体" w:hAnsi="宋体"/>
          <w:color w:val="auto"/>
          <w:sz w:val="24"/>
          <w:highlight w:val="none"/>
        </w:rPr>
        <w:t>询问或者质疑事项可能影响成交结果的，采购人应当暂停签订合同，已经签订合同的，应当中止履行合同。</w:t>
      </w:r>
    </w:p>
    <w:p w14:paraId="7EB79C2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7.4 </w:t>
      </w:r>
      <w:r>
        <w:rPr>
          <w:rFonts w:hint="eastAsia" w:ascii="黑体" w:hAnsi="黑体" w:eastAsia="黑体" w:cs="楷体_GB2312"/>
          <w:b/>
          <w:color w:val="auto"/>
          <w:sz w:val="24"/>
          <w:highlight w:val="none"/>
          <w:lang w:val="zh-CN"/>
        </w:rPr>
        <w:t>成交通知：</w:t>
      </w:r>
      <w:r>
        <w:rPr>
          <w:rFonts w:hint="eastAsia" w:ascii="宋体" w:hAnsi="宋体" w:cs="楷体_GB2312"/>
          <w:color w:val="auto"/>
          <w:sz w:val="24"/>
          <w:highlight w:val="none"/>
          <w:lang w:val="zh-CN"/>
        </w:rPr>
        <w:t>见投标人须知前附表</w:t>
      </w:r>
    </w:p>
    <w:p w14:paraId="493F7F1C">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7.5 </w:t>
      </w:r>
      <w:r>
        <w:rPr>
          <w:rFonts w:hint="eastAsia" w:ascii="黑体" w:hAnsi="黑体" w:eastAsia="黑体" w:cs="楷体_GB2312"/>
          <w:b/>
          <w:color w:val="auto"/>
          <w:sz w:val="24"/>
          <w:highlight w:val="none"/>
          <w:lang w:val="zh-CN"/>
        </w:rPr>
        <w:t>履约保证金</w:t>
      </w:r>
    </w:p>
    <w:p w14:paraId="6125A04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 xml:space="preserve"> 在签订合同时，成交供应商应按投标人须知前附表规定向采购人提交履约保证金。</w:t>
      </w:r>
    </w:p>
    <w:p w14:paraId="26D60F18">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7.5.2 </w:t>
      </w:r>
      <w:r>
        <w:rPr>
          <w:rFonts w:hint="eastAsia" w:ascii="宋体" w:hAnsi="宋体" w:cs="楷体_GB2312"/>
          <w:color w:val="auto"/>
          <w:sz w:val="24"/>
          <w:highlight w:val="none"/>
          <w:lang w:val="zh-CN"/>
        </w:rPr>
        <w:t>成交供应商不能按本章第</w:t>
      </w: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项要求提交履约保证金的，视为放弃成交资格，</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给采购人及采购代理机构造成损失的，成交供应商应当予以赔偿。</w:t>
      </w:r>
    </w:p>
    <w:p w14:paraId="72589251">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7.6 </w:t>
      </w:r>
      <w:r>
        <w:rPr>
          <w:rFonts w:hint="eastAsia" w:ascii="黑体" w:hAnsi="黑体" w:eastAsia="黑体" w:cs="楷体_GB2312"/>
          <w:b/>
          <w:color w:val="auto"/>
          <w:sz w:val="24"/>
          <w:highlight w:val="none"/>
          <w:lang w:val="zh-CN"/>
        </w:rPr>
        <w:t>签订合同</w:t>
      </w:r>
    </w:p>
    <w:p w14:paraId="314C7323">
      <w:pPr>
        <w:autoSpaceDE w:val="0"/>
        <w:autoSpaceDN w:val="0"/>
        <w:adjustRightInd w:val="0"/>
        <w:snapToGrid w:val="0"/>
        <w:spacing w:before="156" w:beforeLines="50" w:line="300" w:lineRule="auto"/>
        <w:ind w:firstLine="539"/>
        <w:rPr>
          <w:rFonts w:ascii="宋体" w:hAnsi="宋体"/>
          <w:color w:val="auto"/>
          <w:sz w:val="24"/>
          <w:highlight w:val="none"/>
        </w:rPr>
      </w:pPr>
      <w:r>
        <w:rPr>
          <w:rFonts w:ascii="宋体" w:hAnsi="宋体"/>
          <w:color w:val="auto"/>
          <w:sz w:val="24"/>
          <w:highlight w:val="none"/>
        </w:rPr>
        <w:t xml:space="preserve">7.6.1 </w:t>
      </w:r>
      <w:r>
        <w:rPr>
          <w:rFonts w:hint="eastAsia" w:ascii="宋体" w:hAnsi="宋体"/>
          <w:color w:val="auto"/>
          <w:sz w:val="24"/>
          <w:highlight w:val="none"/>
        </w:rPr>
        <w:t>据优化营商环境精神，成交供应商应在《成交通知书》发出后1个工作日内，按照谈判文件确定的合同文本以及成交标的、技术和服务等事项与采购人签订</w:t>
      </w:r>
      <w:r>
        <w:rPr>
          <w:rFonts w:hint="eastAsia" w:ascii="宋体" w:hAnsi="宋体" w:cs="楷体_GB2312"/>
          <w:color w:val="auto"/>
          <w:sz w:val="24"/>
          <w:highlight w:val="none"/>
          <w:lang w:val="zh-CN"/>
        </w:rPr>
        <w:t>书面</w:t>
      </w:r>
      <w:r>
        <w:rPr>
          <w:rFonts w:hint="eastAsia" w:ascii="宋体" w:hAnsi="宋体"/>
          <w:color w:val="auto"/>
          <w:sz w:val="24"/>
          <w:highlight w:val="none"/>
        </w:rPr>
        <w:t>政府采购合同。</w:t>
      </w:r>
    </w:p>
    <w:p w14:paraId="75F6A804">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olor w:val="auto"/>
          <w:sz w:val="24"/>
          <w:highlight w:val="none"/>
        </w:rPr>
        <w:t xml:space="preserve">7.6.2 </w:t>
      </w:r>
      <w:r>
        <w:rPr>
          <w:rFonts w:hint="eastAsia" w:ascii="宋体" w:hAnsi="宋体"/>
          <w:color w:val="auto"/>
          <w:sz w:val="24"/>
          <w:highlight w:val="none"/>
        </w:rPr>
        <w:t>如成交供应商不按时签订合同、</w:t>
      </w:r>
      <w:r>
        <w:rPr>
          <w:rFonts w:hint="eastAsia" w:ascii="宋体" w:hAnsi="宋体" w:cs="楷体_GB2312"/>
          <w:color w:val="auto"/>
          <w:sz w:val="24"/>
          <w:highlight w:val="none"/>
          <w:lang w:val="zh-CN"/>
        </w:rPr>
        <w:t>拒签合同的，取消其成交资格，</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给采购人造成损失的，成交供应商应当予以赔偿。</w:t>
      </w:r>
    </w:p>
    <w:p w14:paraId="73EF3EE5">
      <w:pPr>
        <w:widowControl w:val="0"/>
        <w:adjustRightInd w:val="0"/>
        <w:snapToGrid w:val="0"/>
        <w:spacing w:before="156" w:beforeLines="50" w:line="300" w:lineRule="auto"/>
        <w:ind w:firstLine="566"/>
        <w:rPr>
          <w:rFonts w:ascii="宋体" w:hAnsi="宋体"/>
          <w:color w:val="auto"/>
          <w:sz w:val="24"/>
          <w:szCs w:val="24"/>
          <w:highlight w:val="none"/>
        </w:rPr>
      </w:pPr>
      <w:r>
        <w:rPr>
          <w:rFonts w:ascii="宋体" w:hAnsi="宋体"/>
          <w:color w:val="auto"/>
          <w:sz w:val="24"/>
          <w:szCs w:val="24"/>
          <w:highlight w:val="none"/>
        </w:rPr>
        <w:t>7.6.3</w:t>
      </w:r>
      <w:r>
        <w:rPr>
          <w:rFonts w:hint="eastAsia" w:ascii="宋体" w:hAnsi="宋体"/>
          <w:color w:val="auto"/>
          <w:sz w:val="24"/>
          <w:szCs w:val="24"/>
          <w:highlight w:val="none"/>
        </w:rPr>
        <w:t xml:space="preserve"> 合同生效：成交供应商与采购人签订的合同，双方签字后盖章生效</w:t>
      </w:r>
      <w:r>
        <w:rPr>
          <w:rFonts w:hint="eastAsia"/>
          <w:color w:val="auto"/>
          <w:sz w:val="24"/>
          <w:szCs w:val="24"/>
          <w:highlight w:val="none"/>
        </w:rPr>
        <w:t>。</w:t>
      </w:r>
      <w:r>
        <w:rPr>
          <w:rFonts w:hint="eastAsia" w:ascii="宋体" w:hAnsi="宋体"/>
          <w:color w:val="auto"/>
          <w:sz w:val="24"/>
          <w:szCs w:val="24"/>
          <w:highlight w:val="none"/>
        </w:rPr>
        <w:t>采购人要在合同签订后1个工作日内登陆安阳市政府采购网进行备案并公告。</w:t>
      </w:r>
    </w:p>
    <w:p w14:paraId="61860A38">
      <w:pPr>
        <w:widowControl w:val="0"/>
        <w:adjustRightInd w:val="0"/>
        <w:snapToGrid w:val="0"/>
        <w:spacing w:before="156" w:beforeLines="50" w:line="300" w:lineRule="auto"/>
        <w:ind w:firstLine="566"/>
        <w:rPr>
          <w:rFonts w:ascii="宋体" w:hAnsi="宋体"/>
          <w:color w:val="auto"/>
          <w:sz w:val="24"/>
          <w:szCs w:val="24"/>
          <w:highlight w:val="none"/>
        </w:rPr>
      </w:pPr>
      <w:r>
        <w:rPr>
          <w:rFonts w:ascii="宋体" w:hAnsi="宋体"/>
          <w:color w:val="auto"/>
          <w:sz w:val="24"/>
          <w:szCs w:val="24"/>
          <w:highlight w:val="none"/>
        </w:rPr>
        <w:t>7.6.4</w:t>
      </w:r>
      <w:r>
        <w:rPr>
          <w:rFonts w:hint="eastAsia" w:ascii="宋体" w:hAnsi="宋体"/>
          <w:color w:val="auto"/>
          <w:sz w:val="24"/>
          <w:szCs w:val="24"/>
          <w:highlight w:val="none"/>
        </w:rPr>
        <w:t>《成交通知书》、谈判文件</w:t>
      </w:r>
      <w:r>
        <w:rPr>
          <w:rFonts w:hint="eastAsia" w:ascii="宋体" w:hAnsi="宋体"/>
          <w:color w:val="auto"/>
          <w:spacing w:val="20"/>
          <w:sz w:val="24"/>
          <w:szCs w:val="24"/>
          <w:highlight w:val="none"/>
        </w:rPr>
        <w:t>及其修改补充澄清</w:t>
      </w:r>
      <w:r>
        <w:rPr>
          <w:rFonts w:hint="eastAsia" w:ascii="宋体" w:hAnsi="宋体"/>
          <w:color w:val="auto"/>
          <w:sz w:val="24"/>
          <w:szCs w:val="24"/>
          <w:highlight w:val="none"/>
        </w:rPr>
        <w:t>、成交供应商的投标文件及</w:t>
      </w:r>
      <w:r>
        <w:rPr>
          <w:rFonts w:hint="eastAsia" w:ascii="宋体" w:hAnsi="宋体"/>
          <w:color w:val="auto"/>
          <w:spacing w:val="20"/>
          <w:sz w:val="24"/>
          <w:szCs w:val="24"/>
          <w:highlight w:val="none"/>
        </w:rPr>
        <w:t>其修改补充澄清</w:t>
      </w:r>
      <w:r>
        <w:rPr>
          <w:rFonts w:hint="eastAsia" w:ascii="宋体" w:hAnsi="宋体"/>
          <w:color w:val="auto"/>
          <w:sz w:val="24"/>
          <w:szCs w:val="24"/>
          <w:highlight w:val="none"/>
        </w:rPr>
        <w:t>等，均为签订合同的依据。所定合同不得对谈判文件和成交供应商的投标文件作实质性修改，采购人和成交供应商不得私下订立背离合同实质性内容的协议。</w:t>
      </w:r>
    </w:p>
    <w:p w14:paraId="59BAEE99">
      <w:pPr>
        <w:widowControl w:val="0"/>
        <w:adjustRightInd w:val="0"/>
        <w:snapToGrid w:val="0"/>
        <w:spacing w:before="156" w:beforeLines="50" w:line="300" w:lineRule="auto"/>
        <w:ind w:firstLine="549"/>
        <w:rPr>
          <w:rFonts w:ascii="宋体" w:hAnsi="宋体"/>
          <w:color w:val="auto"/>
          <w:sz w:val="24"/>
          <w:szCs w:val="24"/>
          <w:highlight w:val="none"/>
        </w:rPr>
      </w:pPr>
      <w:r>
        <w:rPr>
          <w:rFonts w:ascii="宋体" w:hAnsi="宋体"/>
          <w:color w:val="auto"/>
          <w:sz w:val="24"/>
          <w:szCs w:val="24"/>
          <w:highlight w:val="none"/>
        </w:rPr>
        <w:t xml:space="preserve">7.6.5 </w:t>
      </w:r>
      <w:r>
        <w:rPr>
          <w:rFonts w:hint="eastAsia" w:ascii="宋体" w:hAnsi="宋体"/>
          <w:color w:val="auto"/>
          <w:sz w:val="24"/>
          <w:szCs w:val="24"/>
          <w:highlight w:val="none"/>
        </w:rPr>
        <w:t>评审会后，成交供应商、采购人之间擅自私下谈判、变更中标（成交）标的、价格及</w:t>
      </w:r>
      <w:r>
        <w:rPr>
          <w:rFonts w:hint="eastAsia" w:ascii="宋体" w:hAnsi="宋体"/>
          <w:color w:val="auto"/>
          <w:sz w:val="24"/>
          <w:highlight w:val="none"/>
        </w:rPr>
        <w:t>招投</w:t>
      </w:r>
      <w:r>
        <w:rPr>
          <w:rFonts w:hint="eastAsia" w:ascii="宋体" w:hAnsi="宋体"/>
          <w:color w:val="auto"/>
          <w:sz w:val="24"/>
          <w:szCs w:val="24"/>
          <w:highlight w:val="none"/>
        </w:rPr>
        <w:t>文件实质性内容的，有关部门将按《中华人民共和国政府采购法》及相关法规的规定处理。</w:t>
      </w:r>
    </w:p>
    <w:p w14:paraId="585C2F31">
      <w:pPr>
        <w:widowControl w:val="0"/>
        <w:adjustRightInd w:val="0"/>
        <w:snapToGrid w:val="0"/>
        <w:spacing w:before="156" w:beforeLines="50" w:line="300" w:lineRule="auto"/>
        <w:ind w:firstLine="549"/>
        <w:rPr>
          <w:color w:val="auto"/>
          <w:sz w:val="24"/>
          <w:szCs w:val="24"/>
          <w:highlight w:val="none"/>
        </w:rPr>
      </w:pPr>
      <w:r>
        <w:rPr>
          <w:rFonts w:ascii="宋体" w:hAnsi="宋体"/>
          <w:color w:val="auto"/>
          <w:sz w:val="24"/>
          <w:szCs w:val="24"/>
          <w:highlight w:val="none"/>
        </w:rPr>
        <w:t>7.6.</w:t>
      </w:r>
      <w:r>
        <w:rPr>
          <w:rFonts w:hint="eastAsia" w:ascii="宋体" w:hAnsi="宋体"/>
          <w:color w:val="auto"/>
          <w:sz w:val="24"/>
          <w:szCs w:val="24"/>
          <w:highlight w:val="none"/>
        </w:rPr>
        <w:t>6</w:t>
      </w:r>
      <w:r>
        <w:rPr>
          <w:rFonts w:ascii="宋体" w:hAnsi="宋体"/>
          <w:color w:val="auto"/>
          <w:sz w:val="24"/>
          <w:szCs w:val="24"/>
          <w:highlight w:val="none"/>
        </w:rPr>
        <w:t xml:space="preserve"> </w:t>
      </w:r>
      <w:r>
        <w:rPr>
          <w:rFonts w:hint="eastAsia" w:ascii="宋体" w:hAnsi="宋体"/>
          <w:color w:val="auto"/>
          <w:sz w:val="24"/>
          <w:szCs w:val="24"/>
          <w:highlight w:val="none"/>
        </w:rPr>
        <w:t>采购人与成交供应商签订《政府采购合同》后，合同履行中产生的纠纷、争议，由采购人与成交供应</w:t>
      </w:r>
      <w:r>
        <w:rPr>
          <w:rFonts w:hint="eastAsia"/>
          <w:color w:val="auto"/>
          <w:sz w:val="24"/>
          <w:szCs w:val="24"/>
          <w:highlight w:val="none"/>
        </w:rPr>
        <w:t>商按合同条款及《中华人民共和国民法典》处理。</w:t>
      </w:r>
    </w:p>
    <w:p w14:paraId="2575BBD5">
      <w:pPr>
        <w:widowControl w:val="0"/>
        <w:adjustRightInd w:val="0"/>
        <w:snapToGrid w:val="0"/>
        <w:spacing w:before="156" w:beforeLines="50" w:line="300" w:lineRule="auto"/>
        <w:ind w:firstLine="55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7.7 </w:t>
      </w:r>
      <w:r>
        <w:rPr>
          <w:rFonts w:hint="eastAsia" w:ascii="黑体" w:hAnsi="黑体" w:eastAsia="黑体" w:cs="楷体_GB2312"/>
          <w:b/>
          <w:color w:val="auto"/>
          <w:sz w:val="24"/>
          <w:highlight w:val="none"/>
          <w:lang w:val="zh-CN"/>
        </w:rPr>
        <w:t>合同补充变更</w:t>
      </w:r>
    </w:p>
    <w:p w14:paraId="2F81D815">
      <w:pPr>
        <w:widowControl w:val="0"/>
        <w:adjustRightInd w:val="0"/>
        <w:snapToGrid w:val="0"/>
        <w:spacing w:before="156" w:beforeLines="50" w:line="300" w:lineRule="auto"/>
        <w:ind w:firstLine="555"/>
        <w:rPr>
          <w:rFonts w:ascii="宋体" w:hAnsi="宋体"/>
          <w:color w:val="auto"/>
          <w:sz w:val="24"/>
          <w:szCs w:val="24"/>
          <w:highlight w:val="none"/>
        </w:rPr>
      </w:pPr>
      <w:r>
        <w:rPr>
          <w:rFonts w:ascii="宋体" w:hAnsi="宋体"/>
          <w:color w:val="auto"/>
          <w:sz w:val="24"/>
          <w:szCs w:val="24"/>
          <w:highlight w:val="none"/>
        </w:rPr>
        <w:t xml:space="preserve">7.7.1 </w:t>
      </w:r>
      <w:r>
        <w:rPr>
          <w:rFonts w:hint="eastAsia" w:ascii="宋体" w:hAnsi="宋体"/>
          <w:color w:val="auto"/>
          <w:sz w:val="24"/>
          <w:szCs w:val="24"/>
          <w:highlight w:val="none"/>
        </w:rPr>
        <w:t>政府采购合同履行中，采购人需追加与合同标的相同的货物、工程和服务的的（即追加原合同标的数量），在不改变合同条款（包括原合同单价）的前提下，双方可以协商签订补充合同，但所有补充合同总金额不得超过原合同采购金额的</w:t>
      </w:r>
      <w:r>
        <w:rPr>
          <w:rFonts w:ascii="宋体" w:hAnsi="宋体"/>
          <w:color w:val="auto"/>
          <w:sz w:val="24"/>
          <w:szCs w:val="24"/>
          <w:highlight w:val="none"/>
        </w:rPr>
        <w:t>10%</w:t>
      </w:r>
      <w:r>
        <w:rPr>
          <w:rFonts w:hint="eastAsia" w:ascii="宋体" w:hAnsi="宋体"/>
          <w:color w:val="auto"/>
          <w:sz w:val="24"/>
          <w:szCs w:val="24"/>
          <w:highlight w:val="none"/>
        </w:rPr>
        <w:t>，不得调增原合同单价，不得超出项目预算，超过原合同采购金额的</w:t>
      </w:r>
      <w:r>
        <w:rPr>
          <w:rFonts w:ascii="宋体" w:hAnsi="宋体"/>
          <w:color w:val="auto"/>
          <w:sz w:val="24"/>
          <w:szCs w:val="24"/>
          <w:highlight w:val="none"/>
        </w:rPr>
        <w:t>10%</w:t>
      </w:r>
      <w:r>
        <w:rPr>
          <w:rFonts w:hint="eastAsia" w:ascii="宋体" w:hAnsi="宋体"/>
          <w:color w:val="auto"/>
          <w:sz w:val="24"/>
          <w:szCs w:val="24"/>
          <w:highlight w:val="none"/>
        </w:rPr>
        <w:t>，应重新组织采购活动。</w:t>
      </w:r>
    </w:p>
    <w:p w14:paraId="3AD60C7D">
      <w:pPr>
        <w:widowControl w:val="0"/>
        <w:adjustRightInd w:val="0"/>
        <w:snapToGrid w:val="0"/>
        <w:spacing w:before="156" w:beforeLines="50" w:line="300" w:lineRule="auto"/>
        <w:ind w:firstLine="555"/>
        <w:rPr>
          <w:color w:val="auto"/>
          <w:sz w:val="24"/>
          <w:szCs w:val="24"/>
          <w:highlight w:val="none"/>
        </w:rPr>
      </w:pPr>
      <w:r>
        <w:rPr>
          <w:rFonts w:ascii="宋体" w:hAnsi="宋体"/>
          <w:b/>
          <w:color w:val="auto"/>
          <w:sz w:val="24"/>
          <w:szCs w:val="24"/>
          <w:highlight w:val="none"/>
        </w:rPr>
        <w:t>7.7.2</w:t>
      </w:r>
      <w:r>
        <w:rPr>
          <w:rFonts w:hint="eastAsia" w:ascii="宋体" w:hAnsi="宋体"/>
          <w:color w:val="auto"/>
          <w:sz w:val="24"/>
          <w:szCs w:val="24"/>
          <w:highlight w:val="none"/>
        </w:rPr>
        <w:t>采购人需追加的货物、工程和服务的金额达到</w:t>
      </w:r>
      <w:r>
        <w:rPr>
          <w:rFonts w:ascii="宋体" w:hAnsi="宋体"/>
          <w:color w:val="auto"/>
          <w:sz w:val="24"/>
          <w:szCs w:val="24"/>
          <w:highlight w:val="none"/>
        </w:rPr>
        <w:t>50</w:t>
      </w:r>
      <w:r>
        <w:rPr>
          <w:rFonts w:hint="eastAsia" w:ascii="宋体" w:hAnsi="宋体"/>
          <w:color w:val="auto"/>
          <w:sz w:val="24"/>
          <w:szCs w:val="24"/>
          <w:highlight w:val="none"/>
        </w:rPr>
        <w:t>万元以</w:t>
      </w:r>
      <w:r>
        <w:rPr>
          <w:rFonts w:hint="eastAsia"/>
          <w:color w:val="auto"/>
          <w:sz w:val="24"/>
          <w:szCs w:val="24"/>
          <w:highlight w:val="none"/>
        </w:rPr>
        <w:t>上（含</w:t>
      </w:r>
      <w:r>
        <w:rPr>
          <w:color w:val="auto"/>
          <w:sz w:val="24"/>
          <w:szCs w:val="24"/>
          <w:highlight w:val="none"/>
        </w:rPr>
        <w:t>50</w:t>
      </w:r>
      <w:r>
        <w:rPr>
          <w:rFonts w:hint="eastAsia"/>
          <w:color w:val="auto"/>
          <w:sz w:val="24"/>
          <w:szCs w:val="24"/>
          <w:highlight w:val="none"/>
        </w:rPr>
        <w:t>万元）、且超过中标（成交）价</w:t>
      </w:r>
      <w:r>
        <w:rPr>
          <w:color w:val="auto"/>
          <w:sz w:val="24"/>
          <w:szCs w:val="24"/>
          <w:highlight w:val="none"/>
        </w:rPr>
        <w:t>3%</w:t>
      </w:r>
      <w:r>
        <w:rPr>
          <w:rFonts w:hint="eastAsia"/>
          <w:color w:val="auto"/>
          <w:sz w:val="24"/>
          <w:szCs w:val="24"/>
          <w:highlight w:val="none"/>
        </w:rPr>
        <w:t>的，采购人应当自确定变更之日起</w:t>
      </w:r>
      <w:r>
        <w:rPr>
          <w:color w:val="auto"/>
          <w:sz w:val="24"/>
          <w:szCs w:val="24"/>
          <w:highlight w:val="none"/>
        </w:rPr>
        <w:t>5</w:t>
      </w:r>
      <w:r>
        <w:rPr>
          <w:rFonts w:hint="eastAsia"/>
          <w:color w:val="auto"/>
          <w:sz w:val="24"/>
          <w:szCs w:val="24"/>
          <w:highlight w:val="none"/>
        </w:rPr>
        <w:t>个工作日内将变更情况及事由报送同级监察机关。</w:t>
      </w:r>
    </w:p>
    <w:p w14:paraId="7779461B">
      <w:pPr>
        <w:widowControl w:val="0"/>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采购项目在中标（成交）后经有关行政机关批准变更的，批准的行政机关应当自批准之日起</w:t>
      </w:r>
      <w:r>
        <w:rPr>
          <w:color w:val="auto"/>
          <w:sz w:val="24"/>
          <w:szCs w:val="24"/>
          <w:highlight w:val="none"/>
        </w:rPr>
        <w:t>3</w:t>
      </w:r>
      <w:r>
        <w:rPr>
          <w:rFonts w:hint="eastAsia"/>
          <w:color w:val="auto"/>
          <w:sz w:val="24"/>
          <w:szCs w:val="24"/>
          <w:highlight w:val="none"/>
        </w:rPr>
        <w:t>个工作日内将批准文件抄送同级监察机关备案。</w:t>
      </w:r>
    </w:p>
    <w:p w14:paraId="59EE5BA4">
      <w:pPr>
        <w:widowControl w:val="0"/>
        <w:adjustRightInd w:val="0"/>
        <w:snapToGrid w:val="0"/>
        <w:spacing w:before="156" w:beforeLines="50" w:line="300" w:lineRule="auto"/>
        <w:ind w:firstLine="555"/>
        <w:rPr>
          <w:color w:val="auto"/>
          <w:sz w:val="24"/>
          <w:szCs w:val="24"/>
          <w:highlight w:val="none"/>
        </w:rPr>
      </w:pPr>
    </w:p>
    <w:p w14:paraId="30F8C853">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1" w:name="_Toc206599129"/>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验收</w:t>
      </w:r>
      <w:bookmarkEnd w:id="31"/>
    </w:p>
    <w:p w14:paraId="1E48EB94">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8.1</w:t>
      </w:r>
      <w:r>
        <w:rPr>
          <w:rFonts w:hint="eastAsia" w:ascii="宋体" w:hAnsi="宋体" w:cs="楷体_GB2312"/>
          <w:color w:val="auto"/>
          <w:sz w:val="24"/>
          <w:highlight w:val="none"/>
          <w:lang w:val="zh-CN"/>
        </w:rPr>
        <w:t>验收时间：项目具备验收条件时，由采购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04F7DC1D">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8.2</w:t>
      </w:r>
      <w:r>
        <w:rPr>
          <w:rFonts w:hint="eastAsia" w:ascii="宋体" w:hAnsi="宋体" w:cs="楷体_GB2312"/>
          <w:color w:val="auto"/>
          <w:sz w:val="24"/>
          <w:highlight w:val="none"/>
          <w:lang w:val="zh-CN"/>
        </w:rPr>
        <w:t>验收工作组：合同履约验收工作应成立验收工作组专门负责。</w:t>
      </w:r>
    </w:p>
    <w:p w14:paraId="7FBC6A8E">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6244A120">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6DADEC4B">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379C73E8">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459805ED">
      <w:pPr>
        <w:widowControl w:val="0"/>
        <w:adjustRightInd w:val="0"/>
        <w:snapToGrid w:val="0"/>
        <w:spacing w:before="156" w:beforeLines="50" w:line="300" w:lineRule="auto"/>
        <w:ind w:firstLine="561"/>
        <w:rPr>
          <w:rFonts w:ascii="宋体" w:hAnsi="宋体" w:cs="楷体_GB2312"/>
          <w:color w:val="auto"/>
          <w:sz w:val="24"/>
          <w:highlight w:val="none"/>
        </w:rPr>
      </w:pPr>
      <w:r>
        <w:rPr>
          <w:rFonts w:ascii="宋体" w:hAnsi="宋体" w:cs="楷体_GB2312"/>
          <w:color w:val="auto"/>
          <w:sz w:val="24"/>
          <w:highlight w:val="none"/>
          <w:lang w:val="zh-CN"/>
        </w:rPr>
        <w:t>8.</w:t>
      </w:r>
      <w:r>
        <w:rPr>
          <w:rFonts w:hint="eastAsia" w:ascii="宋体" w:hAnsi="宋体" w:cs="楷体_GB2312"/>
          <w:color w:val="auto"/>
          <w:sz w:val="24"/>
          <w:highlight w:val="none"/>
        </w:rPr>
        <w:t>4</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3B464EAA">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8.</w:t>
      </w: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72CA7A39">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8.6 验收公告的时限：采购人要在政府采购项目验收完成后1个工作日内登陆安阳市政府采购网进行验收公告。</w:t>
      </w:r>
    </w:p>
    <w:p w14:paraId="4DE815CF">
      <w:pPr>
        <w:widowControl w:val="0"/>
        <w:adjustRightInd w:val="0"/>
        <w:snapToGrid w:val="0"/>
        <w:spacing w:before="156" w:beforeLines="50" w:line="300" w:lineRule="auto"/>
        <w:ind w:firstLine="561"/>
        <w:rPr>
          <w:rFonts w:ascii="宋体" w:cs="楷体_GB2312"/>
          <w:color w:val="auto"/>
          <w:sz w:val="24"/>
          <w:highlight w:val="none"/>
          <w:lang w:val="zh-CN"/>
        </w:rPr>
      </w:pPr>
    </w:p>
    <w:p w14:paraId="0BA6A819">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2" w:name="_Toc206599130"/>
      <w:r>
        <w:rPr>
          <w:rFonts w:ascii="黑体" w:hAnsi="黑体" w:eastAsia="黑体" w:cs="楷体_GB2312"/>
          <w:b/>
          <w:bCs/>
          <w:color w:val="auto"/>
          <w:sz w:val="28"/>
          <w:szCs w:val="28"/>
          <w:highlight w:val="none"/>
          <w:lang w:val="zh-CN"/>
        </w:rPr>
        <w:t>9.</w:t>
      </w:r>
      <w:r>
        <w:rPr>
          <w:rFonts w:hint="eastAsia" w:ascii="黑体" w:hAnsi="黑体" w:eastAsia="黑体" w:cs="楷体_GB2312"/>
          <w:b/>
          <w:bCs/>
          <w:color w:val="auto"/>
          <w:sz w:val="28"/>
          <w:szCs w:val="28"/>
          <w:highlight w:val="none"/>
          <w:lang w:val="zh-CN"/>
        </w:rPr>
        <w:t>付款</w:t>
      </w:r>
      <w:bookmarkEnd w:id="32"/>
    </w:p>
    <w:p w14:paraId="49CC9E95">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见投标人须知前附表</w:t>
      </w:r>
    </w:p>
    <w:p w14:paraId="4FB6DF64">
      <w:pPr>
        <w:widowControl w:val="0"/>
        <w:adjustRightInd w:val="0"/>
        <w:snapToGrid w:val="0"/>
        <w:spacing w:before="156" w:beforeLines="50" w:line="300" w:lineRule="auto"/>
        <w:ind w:firstLine="561"/>
        <w:rPr>
          <w:rFonts w:ascii="黑体" w:hAnsi="黑体" w:eastAsia="黑体" w:cs="楷体_GB2312"/>
          <w:b/>
          <w:bCs/>
          <w:color w:val="auto"/>
          <w:sz w:val="28"/>
          <w:szCs w:val="28"/>
          <w:highlight w:val="none"/>
          <w:lang w:val="zh-CN"/>
        </w:rPr>
      </w:pPr>
    </w:p>
    <w:p w14:paraId="71B348EA">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3" w:name="_Toc206599131"/>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其他</w:t>
      </w:r>
      <w:bookmarkEnd w:id="33"/>
    </w:p>
    <w:p w14:paraId="5D94F13F">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10.1 </w:t>
      </w:r>
      <w:r>
        <w:rPr>
          <w:rFonts w:hint="eastAsia" w:ascii="宋体" w:hAnsi="宋体" w:cs="楷体_GB2312"/>
          <w:color w:val="auto"/>
          <w:sz w:val="24"/>
          <w:highlight w:val="none"/>
          <w:lang w:val="zh-CN"/>
        </w:rPr>
        <w:t>中标服务费等：见投标人须知前附表</w:t>
      </w:r>
    </w:p>
    <w:p w14:paraId="6E1616C4">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 xml:space="preserve">10.2 </w:t>
      </w:r>
      <w:r>
        <w:rPr>
          <w:rFonts w:hint="eastAsia" w:ascii="宋体" w:hAnsi="宋体" w:cs="楷体_GB2312"/>
          <w:color w:val="auto"/>
          <w:sz w:val="24"/>
          <w:highlight w:val="none"/>
          <w:lang w:val="zh-CN"/>
        </w:rPr>
        <w:t>同义解释。谈判文件中：“投标”同义“提交响应文件”，“投标人”同义“提交响应文件的供应商”，“投标文件”同义“响应文件”，</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开标”同义“响应文件的开启</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，“中标”同义“成交”，“中标供应商”同义“成交供应商</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w:t>
      </w:r>
    </w:p>
    <w:p w14:paraId="32AAC19E">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10.3 </w:t>
      </w:r>
      <w:r>
        <w:rPr>
          <w:rFonts w:hint="eastAsia" w:ascii="宋体" w:hAnsi="宋体" w:cs="楷体_GB2312"/>
          <w:color w:val="auto"/>
          <w:sz w:val="24"/>
          <w:highlight w:val="none"/>
          <w:lang w:val="zh-CN"/>
        </w:rPr>
        <w:t>投标人资格条件中包含非法人单位的，谈判文件中法定代表人一词相应包含表示证照标示的负责人；</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投标人资格条件中包含自然人的，谈判文件中法定代表人一词相应包含表示自然人，自然人应由其本人签署投标文件、参加投标，不应再授权他人。</w:t>
      </w:r>
    </w:p>
    <w:p w14:paraId="6417649A">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highlight w:val="none"/>
          <w:lang w:val="zh-CN"/>
        </w:rPr>
      </w:pPr>
      <w:r>
        <w:rPr>
          <w:rFonts w:ascii="宋体" w:hAnsi="宋体" w:cs="楷体_GB2312"/>
          <w:color w:val="auto"/>
          <w:sz w:val="24"/>
          <w:highlight w:val="none"/>
          <w:lang w:val="zh-CN"/>
        </w:rPr>
        <w:t xml:space="preserve">10.4  </w:t>
      </w:r>
      <w:r>
        <w:rPr>
          <w:rFonts w:hint="eastAsia" w:ascii="宋体" w:hAnsi="宋体" w:cs="楷体_GB2312"/>
          <w:color w:val="auto"/>
          <w:sz w:val="24"/>
          <w:highlight w:val="none"/>
          <w:lang w:val="zh-CN"/>
        </w:rPr>
        <w:t>谈判文件第一章至第四章各章中，用序号标示条、款、项、目，例如：</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条，</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款（简称</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款），</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项（简称</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项）。“条”包含款、项、目；“款”包含项、目；“项”包含目。</w:t>
      </w:r>
    </w:p>
    <w:p w14:paraId="0B520672">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highlight w:val="none"/>
          <w:lang w:val="zh-CN"/>
        </w:rPr>
      </w:pPr>
    </w:p>
    <w:p w14:paraId="369138B2">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4" w:name="_Toc206599132"/>
      <w:bookmarkStart w:id="35" w:name="_Toc58858635"/>
      <w:r>
        <w:rPr>
          <w:rFonts w:hint="eastAsia" w:ascii="黑体" w:hAnsi="黑体" w:eastAsia="黑体" w:cs="楷体_GB2312"/>
          <w:b/>
          <w:bCs/>
          <w:color w:val="auto"/>
          <w:sz w:val="28"/>
          <w:szCs w:val="28"/>
          <w:highlight w:val="none"/>
          <w:lang w:val="zh-CN"/>
        </w:rPr>
        <w:t>11. 河南省政府采购合同融资政策告知函</w:t>
      </w:r>
      <w:bookmarkEnd w:id="34"/>
      <w:bookmarkEnd w:id="35"/>
    </w:p>
    <w:p w14:paraId="22C01E75">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各供应商：</w:t>
      </w:r>
    </w:p>
    <w:p w14:paraId="00BB1D37">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欢迎贵公司参与河南省政府采购活动！</w:t>
      </w:r>
    </w:p>
    <w:p w14:paraId="389040DB">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C15BA77">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贷款渠道和提供贷款的金融机构，可在河南省政府采购网“河南省政府采购合同融资平台”查询联系。</w:t>
      </w:r>
    </w:p>
    <w:p w14:paraId="28E03CDF">
      <w:pPr>
        <w:widowControl w:val="0"/>
        <w:autoSpaceDE w:val="0"/>
        <w:autoSpaceDN w:val="0"/>
        <w:adjustRightInd w:val="0"/>
        <w:spacing w:before="156" w:beforeLines="50" w:line="300" w:lineRule="auto"/>
        <w:ind w:firstLine="883" w:firstLineChars="200"/>
        <w:jc w:val="left"/>
        <w:textAlignment w:val="auto"/>
        <w:rPr>
          <w:rFonts w:eastAsia="黑体"/>
          <w:b/>
          <w:color w:val="auto"/>
          <w:sz w:val="44"/>
          <w:highlight w:val="none"/>
        </w:rPr>
      </w:pPr>
      <w:bookmarkStart w:id="36" w:name="_Toc423723402"/>
      <w:r>
        <w:rPr>
          <w:rFonts w:eastAsia="黑体"/>
          <w:b/>
          <w:color w:val="auto"/>
          <w:sz w:val="44"/>
          <w:highlight w:val="none"/>
        </w:rPr>
        <w:t xml:space="preserve"> </w:t>
      </w:r>
    </w:p>
    <w:p w14:paraId="794BD325">
      <w:pPr>
        <w:widowControl w:val="0"/>
        <w:snapToGrid w:val="0"/>
        <w:spacing w:line="360" w:lineRule="auto"/>
        <w:ind w:firstLine="567"/>
        <w:jc w:val="center"/>
        <w:outlineLvl w:val="0"/>
        <w:rPr>
          <w:rFonts w:ascii="黑体" w:hAnsi="黑体" w:eastAsia="黑体"/>
          <w:b/>
          <w:color w:val="auto"/>
          <w:sz w:val="36"/>
          <w:szCs w:val="36"/>
          <w:highlight w:val="none"/>
          <w:lang w:val="zh-CN"/>
        </w:rPr>
      </w:pPr>
      <w:bookmarkStart w:id="37" w:name="_Toc206599133"/>
      <w:r>
        <w:rPr>
          <w:rFonts w:hint="eastAsia" w:ascii="黑体" w:hAnsi="黑体" w:eastAsia="黑体"/>
          <w:b/>
          <w:color w:val="auto"/>
          <w:sz w:val="36"/>
          <w:szCs w:val="36"/>
          <w:highlight w:val="none"/>
          <w:lang w:val="zh-CN"/>
        </w:rPr>
        <w:t>第四章 评审办法</w:t>
      </w:r>
      <w:bookmarkEnd w:id="36"/>
      <w:bookmarkEnd w:id="37"/>
    </w:p>
    <w:p w14:paraId="11AE1929">
      <w:pPr>
        <w:widowControl w:val="0"/>
        <w:snapToGrid w:val="0"/>
        <w:spacing w:line="360" w:lineRule="auto"/>
        <w:ind w:firstLine="567"/>
        <w:jc w:val="center"/>
        <w:outlineLvl w:val="0"/>
        <w:rPr>
          <w:b/>
          <w:color w:val="auto"/>
          <w:sz w:val="24"/>
          <w:szCs w:val="24"/>
          <w:highlight w:val="none"/>
        </w:rPr>
      </w:pPr>
    </w:p>
    <w:p w14:paraId="2EDBC735">
      <w:pPr>
        <w:spacing w:line="500" w:lineRule="exact"/>
        <w:jc w:val="left"/>
        <w:outlineLvl w:val="1"/>
        <w:rPr>
          <w:rFonts w:ascii="黑体" w:hAnsi="黑体" w:eastAsia="黑体"/>
          <w:b/>
          <w:color w:val="auto"/>
          <w:sz w:val="28"/>
          <w:szCs w:val="28"/>
          <w:highlight w:val="none"/>
          <w:lang w:val="zh-CN"/>
        </w:rPr>
      </w:pPr>
      <w:bookmarkStart w:id="38" w:name="_Toc206599134"/>
      <w:r>
        <w:rPr>
          <w:rFonts w:hint="eastAsia" w:ascii="黑体" w:hAnsi="黑体" w:eastAsia="黑体"/>
          <w:b/>
          <w:color w:val="auto"/>
          <w:sz w:val="28"/>
          <w:szCs w:val="28"/>
          <w:highlight w:val="none"/>
        </w:rPr>
        <w:t>评审办法前附表</w:t>
      </w:r>
      <w:bookmarkEnd w:id="38"/>
    </w:p>
    <w:tbl>
      <w:tblPr>
        <w:tblStyle w:val="15"/>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14:paraId="2E53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14:paraId="55BF9C13">
            <w:pPr>
              <w:pStyle w:val="47"/>
              <w:jc w:val="center"/>
              <w:rPr>
                <w:rFonts w:hAnsi="宋体"/>
                <w:b/>
                <w:color w:val="auto"/>
                <w:szCs w:val="24"/>
                <w:highlight w:val="none"/>
              </w:rPr>
            </w:pPr>
            <w:r>
              <w:rPr>
                <w:rFonts w:hint="eastAsia" w:hAnsi="宋体"/>
                <w:b/>
                <w:color w:val="auto"/>
                <w:szCs w:val="24"/>
                <w:highlight w:val="none"/>
              </w:rPr>
              <w:t>条款号</w:t>
            </w:r>
          </w:p>
        </w:tc>
        <w:tc>
          <w:tcPr>
            <w:tcW w:w="3177" w:type="dxa"/>
            <w:gridSpan w:val="2"/>
            <w:vAlign w:val="center"/>
          </w:tcPr>
          <w:p w14:paraId="4F96F587">
            <w:pPr>
              <w:pStyle w:val="47"/>
              <w:jc w:val="center"/>
              <w:rPr>
                <w:rFonts w:hAnsi="宋体"/>
                <w:b/>
                <w:color w:val="auto"/>
                <w:szCs w:val="24"/>
                <w:highlight w:val="none"/>
              </w:rPr>
            </w:pPr>
            <w:r>
              <w:rPr>
                <w:rFonts w:hint="eastAsia" w:hAnsi="宋体"/>
                <w:b/>
                <w:color w:val="auto"/>
                <w:szCs w:val="24"/>
                <w:highlight w:val="none"/>
              </w:rPr>
              <w:t>评审因素</w:t>
            </w:r>
          </w:p>
        </w:tc>
        <w:tc>
          <w:tcPr>
            <w:tcW w:w="5736" w:type="dxa"/>
            <w:vAlign w:val="center"/>
          </w:tcPr>
          <w:p w14:paraId="342463C0">
            <w:pPr>
              <w:pStyle w:val="47"/>
              <w:jc w:val="center"/>
              <w:rPr>
                <w:rFonts w:hAnsi="宋体"/>
                <w:b/>
                <w:color w:val="auto"/>
                <w:szCs w:val="24"/>
                <w:highlight w:val="none"/>
              </w:rPr>
            </w:pPr>
            <w:r>
              <w:rPr>
                <w:rFonts w:hint="eastAsia" w:hAnsi="宋体"/>
                <w:b/>
                <w:color w:val="auto"/>
                <w:szCs w:val="24"/>
                <w:highlight w:val="none"/>
              </w:rPr>
              <w:t>评审标准</w:t>
            </w:r>
          </w:p>
        </w:tc>
      </w:tr>
      <w:tr w14:paraId="2522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14:paraId="583AC23B">
            <w:pPr>
              <w:pStyle w:val="47"/>
              <w:spacing w:line="360" w:lineRule="auto"/>
              <w:ind w:right="-101" w:rightChars="-48"/>
              <w:jc w:val="center"/>
              <w:rPr>
                <w:rFonts w:hAnsi="宋体"/>
                <w:color w:val="auto"/>
                <w:szCs w:val="24"/>
                <w:highlight w:val="none"/>
              </w:rPr>
            </w:pPr>
            <w:r>
              <w:rPr>
                <w:rFonts w:hAnsi="宋体"/>
                <w:color w:val="auto"/>
                <w:szCs w:val="24"/>
                <w:highlight w:val="none"/>
              </w:rPr>
              <w:t>2.1.1</w:t>
            </w:r>
          </w:p>
        </w:tc>
        <w:tc>
          <w:tcPr>
            <w:tcW w:w="560" w:type="dxa"/>
            <w:vMerge w:val="restart"/>
            <w:vAlign w:val="center"/>
          </w:tcPr>
          <w:p w14:paraId="2B33DDAC">
            <w:pPr>
              <w:pStyle w:val="47"/>
              <w:jc w:val="center"/>
              <w:rPr>
                <w:rFonts w:hAnsi="宋体"/>
                <w:color w:val="auto"/>
                <w:szCs w:val="24"/>
                <w:highlight w:val="none"/>
              </w:rPr>
            </w:pPr>
            <w:r>
              <w:rPr>
                <w:rFonts w:hint="eastAsia" w:hAnsi="宋体"/>
                <w:color w:val="auto"/>
                <w:szCs w:val="24"/>
                <w:highlight w:val="none"/>
              </w:rPr>
              <w:t>资</w:t>
            </w:r>
          </w:p>
          <w:p w14:paraId="035B7165">
            <w:pPr>
              <w:pStyle w:val="47"/>
              <w:jc w:val="center"/>
              <w:rPr>
                <w:rFonts w:hAnsi="宋体"/>
                <w:color w:val="auto"/>
                <w:szCs w:val="24"/>
                <w:highlight w:val="none"/>
              </w:rPr>
            </w:pPr>
            <w:r>
              <w:rPr>
                <w:rFonts w:hint="eastAsia" w:hAnsi="宋体"/>
                <w:color w:val="auto"/>
                <w:szCs w:val="24"/>
                <w:highlight w:val="none"/>
              </w:rPr>
              <w:t>格</w:t>
            </w:r>
          </w:p>
          <w:p w14:paraId="795BEBB8">
            <w:pPr>
              <w:pStyle w:val="47"/>
              <w:jc w:val="center"/>
              <w:rPr>
                <w:rFonts w:hAnsi="宋体"/>
                <w:color w:val="auto"/>
                <w:szCs w:val="24"/>
                <w:highlight w:val="none"/>
              </w:rPr>
            </w:pPr>
            <w:r>
              <w:rPr>
                <w:rFonts w:hint="eastAsia" w:hAnsi="宋体"/>
                <w:color w:val="auto"/>
                <w:szCs w:val="24"/>
                <w:highlight w:val="none"/>
              </w:rPr>
              <w:t>性</w:t>
            </w:r>
          </w:p>
          <w:p w14:paraId="07008ABE">
            <w:pPr>
              <w:pStyle w:val="47"/>
              <w:jc w:val="center"/>
              <w:rPr>
                <w:rFonts w:hAnsi="宋体"/>
                <w:color w:val="auto"/>
                <w:szCs w:val="24"/>
                <w:highlight w:val="none"/>
              </w:rPr>
            </w:pPr>
            <w:r>
              <w:rPr>
                <w:rFonts w:hint="eastAsia" w:hAnsi="宋体"/>
                <w:color w:val="auto"/>
                <w:szCs w:val="24"/>
                <w:highlight w:val="none"/>
              </w:rPr>
              <w:t>审</w:t>
            </w:r>
          </w:p>
          <w:p w14:paraId="0EC1CDD5">
            <w:pPr>
              <w:pStyle w:val="47"/>
              <w:jc w:val="center"/>
              <w:rPr>
                <w:rFonts w:hAnsi="宋体"/>
                <w:color w:val="auto"/>
                <w:szCs w:val="24"/>
                <w:highlight w:val="none"/>
              </w:rPr>
            </w:pPr>
            <w:r>
              <w:rPr>
                <w:rFonts w:hint="eastAsia" w:hAnsi="宋体"/>
                <w:color w:val="auto"/>
                <w:szCs w:val="24"/>
                <w:highlight w:val="none"/>
              </w:rPr>
              <w:t>查</w:t>
            </w:r>
          </w:p>
        </w:tc>
        <w:tc>
          <w:tcPr>
            <w:tcW w:w="3177" w:type="dxa"/>
            <w:gridSpan w:val="2"/>
            <w:vAlign w:val="center"/>
          </w:tcPr>
          <w:p w14:paraId="318C557B">
            <w:pPr>
              <w:widowControl w:val="0"/>
              <w:snapToGrid w:val="0"/>
              <w:spacing w:line="240" w:lineRule="auto"/>
              <w:rPr>
                <w:rFonts w:ascii="宋体"/>
                <w:color w:val="auto"/>
                <w:sz w:val="24"/>
                <w:szCs w:val="24"/>
                <w:highlight w:val="none"/>
              </w:rPr>
            </w:pPr>
            <w:r>
              <w:rPr>
                <w:rFonts w:hint="eastAsia"/>
                <w:color w:val="auto"/>
                <w:sz w:val="24"/>
                <w:szCs w:val="24"/>
                <w:highlight w:val="none"/>
              </w:rPr>
              <w:t>第一章“谈判公告”第</w:t>
            </w:r>
            <w:r>
              <w:rPr>
                <w:color w:val="auto"/>
                <w:sz w:val="24"/>
                <w:szCs w:val="24"/>
                <w:highlight w:val="none"/>
              </w:rPr>
              <w:t>2</w:t>
            </w:r>
            <w:r>
              <w:rPr>
                <w:rFonts w:hint="eastAsia"/>
                <w:color w:val="auto"/>
                <w:sz w:val="24"/>
                <w:szCs w:val="24"/>
                <w:highlight w:val="none"/>
              </w:rPr>
              <w:t>条各项资格要求</w:t>
            </w:r>
          </w:p>
        </w:tc>
        <w:tc>
          <w:tcPr>
            <w:tcW w:w="5736" w:type="dxa"/>
            <w:vAlign w:val="center"/>
          </w:tcPr>
          <w:p w14:paraId="1A7489FF">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符合第一章“谈判公告”第</w:t>
            </w:r>
            <w:r>
              <w:rPr>
                <w:rFonts w:ascii="宋体" w:hAnsi="宋体"/>
                <w:color w:val="auto"/>
                <w:sz w:val="24"/>
                <w:szCs w:val="24"/>
                <w:highlight w:val="none"/>
              </w:rPr>
              <w:t>2</w:t>
            </w:r>
            <w:r>
              <w:rPr>
                <w:rFonts w:hint="eastAsia" w:ascii="宋体" w:hAnsi="宋体"/>
                <w:color w:val="auto"/>
                <w:sz w:val="24"/>
                <w:szCs w:val="24"/>
                <w:highlight w:val="none"/>
              </w:rPr>
              <w:t>条各项</w:t>
            </w:r>
            <w:r>
              <w:rPr>
                <w:rFonts w:hint="eastAsia"/>
                <w:color w:val="auto"/>
                <w:sz w:val="24"/>
                <w:szCs w:val="24"/>
                <w:highlight w:val="none"/>
              </w:rPr>
              <w:t>资格要求所需证件材料及证明材料</w:t>
            </w:r>
          </w:p>
        </w:tc>
      </w:tr>
      <w:tr w14:paraId="2A74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14:paraId="76C213F8">
            <w:pPr>
              <w:pStyle w:val="47"/>
              <w:spacing w:line="360" w:lineRule="auto"/>
              <w:jc w:val="center"/>
              <w:rPr>
                <w:rFonts w:hAnsi="宋体"/>
                <w:color w:val="auto"/>
                <w:szCs w:val="24"/>
                <w:highlight w:val="none"/>
              </w:rPr>
            </w:pPr>
          </w:p>
        </w:tc>
        <w:tc>
          <w:tcPr>
            <w:tcW w:w="560" w:type="dxa"/>
            <w:vMerge w:val="continue"/>
            <w:vAlign w:val="center"/>
          </w:tcPr>
          <w:p w14:paraId="21C1C8EE">
            <w:pPr>
              <w:pStyle w:val="47"/>
              <w:spacing w:line="360" w:lineRule="auto"/>
              <w:jc w:val="center"/>
              <w:rPr>
                <w:rFonts w:hAnsi="宋体"/>
                <w:color w:val="auto"/>
                <w:szCs w:val="24"/>
                <w:highlight w:val="none"/>
              </w:rPr>
            </w:pPr>
          </w:p>
        </w:tc>
        <w:tc>
          <w:tcPr>
            <w:tcW w:w="3177" w:type="dxa"/>
            <w:gridSpan w:val="2"/>
            <w:vAlign w:val="center"/>
          </w:tcPr>
          <w:p w14:paraId="7DC19C8A">
            <w:pPr>
              <w:widowControl w:val="0"/>
              <w:snapToGrid w:val="0"/>
              <w:spacing w:line="240" w:lineRule="auto"/>
              <w:rPr>
                <w:color w:val="auto"/>
                <w:sz w:val="24"/>
                <w:szCs w:val="24"/>
                <w:highlight w:val="none"/>
              </w:rPr>
            </w:pPr>
            <w:r>
              <w:rPr>
                <w:rFonts w:hint="eastAsia"/>
                <w:color w:val="auto"/>
                <w:sz w:val="24"/>
                <w:szCs w:val="24"/>
                <w:highlight w:val="none"/>
              </w:rPr>
              <w:t>投标承诺函</w:t>
            </w:r>
          </w:p>
          <w:p w14:paraId="7405A2AE">
            <w:pPr>
              <w:widowControl w:val="0"/>
              <w:snapToGrid w:val="0"/>
              <w:spacing w:line="240" w:lineRule="auto"/>
              <w:rPr>
                <w:color w:val="auto"/>
                <w:sz w:val="24"/>
                <w:szCs w:val="24"/>
                <w:highlight w:val="none"/>
              </w:rPr>
            </w:pPr>
            <w:r>
              <w:rPr>
                <w:rFonts w:hint="eastAsia"/>
                <w:color w:val="auto"/>
                <w:sz w:val="24"/>
                <w:szCs w:val="24"/>
                <w:highlight w:val="none"/>
              </w:rPr>
              <w:t>(替代投标保证金)</w:t>
            </w:r>
          </w:p>
        </w:tc>
        <w:tc>
          <w:tcPr>
            <w:tcW w:w="5736" w:type="dxa"/>
            <w:vAlign w:val="center"/>
          </w:tcPr>
          <w:p w14:paraId="3D3B52E2">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符合第三章“投标人须知”</w:t>
            </w:r>
            <w:r>
              <w:rPr>
                <w:rFonts w:ascii="宋体" w:hAnsi="宋体"/>
                <w:color w:val="auto"/>
                <w:sz w:val="24"/>
                <w:szCs w:val="24"/>
                <w:highlight w:val="none"/>
              </w:rPr>
              <w:t>3.5</w:t>
            </w:r>
            <w:r>
              <w:rPr>
                <w:rFonts w:hint="eastAsia" w:ascii="宋体" w:hAnsi="宋体"/>
                <w:color w:val="auto"/>
                <w:sz w:val="24"/>
                <w:szCs w:val="24"/>
                <w:highlight w:val="none"/>
              </w:rPr>
              <w:t>款规定</w:t>
            </w:r>
          </w:p>
        </w:tc>
      </w:tr>
      <w:tr w14:paraId="71A8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14:paraId="07A59F60">
            <w:pPr>
              <w:pStyle w:val="47"/>
              <w:spacing w:line="360" w:lineRule="auto"/>
              <w:jc w:val="center"/>
              <w:rPr>
                <w:rFonts w:hAnsi="宋体"/>
                <w:color w:val="auto"/>
                <w:szCs w:val="24"/>
                <w:highlight w:val="none"/>
              </w:rPr>
            </w:pPr>
          </w:p>
        </w:tc>
        <w:tc>
          <w:tcPr>
            <w:tcW w:w="560" w:type="dxa"/>
            <w:vMerge w:val="continue"/>
            <w:vAlign w:val="center"/>
          </w:tcPr>
          <w:p w14:paraId="25DA11EA">
            <w:pPr>
              <w:pStyle w:val="47"/>
              <w:spacing w:line="360" w:lineRule="auto"/>
              <w:jc w:val="center"/>
              <w:rPr>
                <w:rFonts w:hAnsi="宋体"/>
                <w:color w:val="auto"/>
                <w:szCs w:val="24"/>
                <w:highlight w:val="none"/>
              </w:rPr>
            </w:pPr>
          </w:p>
        </w:tc>
        <w:tc>
          <w:tcPr>
            <w:tcW w:w="3177" w:type="dxa"/>
            <w:gridSpan w:val="2"/>
            <w:vAlign w:val="center"/>
          </w:tcPr>
          <w:p w14:paraId="070464AA">
            <w:pPr>
              <w:widowControl w:val="0"/>
              <w:snapToGrid w:val="0"/>
              <w:spacing w:line="240" w:lineRule="auto"/>
              <w:rPr>
                <w:color w:val="auto"/>
                <w:sz w:val="24"/>
                <w:szCs w:val="24"/>
                <w:highlight w:val="none"/>
              </w:rPr>
            </w:pPr>
            <w:r>
              <w:rPr>
                <w:rFonts w:hint="eastAsia"/>
                <w:color w:val="auto"/>
                <w:sz w:val="24"/>
                <w:szCs w:val="24"/>
                <w:highlight w:val="none"/>
              </w:rPr>
              <w:t>联合体（如有）</w:t>
            </w:r>
          </w:p>
        </w:tc>
        <w:tc>
          <w:tcPr>
            <w:tcW w:w="5736" w:type="dxa"/>
            <w:vAlign w:val="center"/>
          </w:tcPr>
          <w:p w14:paraId="2E604EBC">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符合第三章“投标人须知”</w:t>
            </w:r>
            <w:r>
              <w:rPr>
                <w:rFonts w:ascii="宋体" w:hAnsi="宋体"/>
                <w:color w:val="auto"/>
                <w:sz w:val="24"/>
                <w:szCs w:val="24"/>
                <w:highlight w:val="none"/>
              </w:rPr>
              <w:t>1.4</w:t>
            </w:r>
            <w:r>
              <w:rPr>
                <w:rFonts w:hint="eastAsia" w:ascii="宋体" w:hAnsi="宋体"/>
                <w:color w:val="auto"/>
                <w:sz w:val="24"/>
                <w:szCs w:val="24"/>
                <w:highlight w:val="none"/>
              </w:rPr>
              <w:t>款规定</w:t>
            </w:r>
          </w:p>
        </w:tc>
      </w:tr>
      <w:tr w14:paraId="633C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14:paraId="567881EC">
            <w:pPr>
              <w:pStyle w:val="47"/>
              <w:spacing w:line="360" w:lineRule="auto"/>
              <w:ind w:right="-160" w:rightChars="-76"/>
              <w:jc w:val="center"/>
              <w:rPr>
                <w:rFonts w:hAnsi="宋体"/>
                <w:color w:val="auto"/>
                <w:szCs w:val="24"/>
                <w:highlight w:val="none"/>
              </w:rPr>
            </w:pPr>
            <w:r>
              <w:rPr>
                <w:rFonts w:hAnsi="宋体"/>
                <w:color w:val="auto"/>
                <w:szCs w:val="24"/>
                <w:highlight w:val="none"/>
              </w:rPr>
              <w:t>2.1.2</w:t>
            </w:r>
          </w:p>
        </w:tc>
        <w:tc>
          <w:tcPr>
            <w:tcW w:w="560" w:type="dxa"/>
            <w:vMerge w:val="restart"/>
            <w:vAlign w:val="center"/>
          </w:tcPr>
          <w:p w14:paraId="437C1C61">
            <w:pPr>
              <w:pStyle w:val="47"/>
              <w:spacing w:line="360" w:lineRule="auto"/>
              <w:jc w:val="center"/>
              <w:rPr>
                <w:rFonts w:hAnsi="宋体"/>
                <w:color w:val="auto"/>
                <w:szCs w:val="24"/>
                <w:highlight w:val="none"/>
              </w:rPr>
            </w:pPr>
            <w:r>
              <w:rPr>
                <w:rFonts w:hint="eastAsia" w:hAnsi="宋体"/>
                <w:color w:val="auto"/>
                <w:szCs w:val="24"/>
                <w:highlight w:val="none"/>
              </w:rPr>
              <w:t>符</w:t>
            </w:r>
          </w:p>
          <w:p w14:paraId="44793568">
            <w:pPr>
              <w:pStyle w:val="47"/>
              <w:spacing w:line="360" w:lineRule="auto"/>
              <w:jc w:val="center"/>
              <w:rPr>
                <w:rFonts w:hAnsi="宋体"/>
                <w:color w:val="auto"/>
                <w:szCs w:val="24"/>
                <w:highlight w:val="none"/>
              </w:rPr>
            </w:pPr>
            <w:r>
              <w:rPr>
                <w:rFonts w:hint="eastAsia" w:hAnsi="宋体"/>
                <w:color w:val="auto"/>
                <w:szCs w:val="24"/>
                <w:highlight w:val="none"/>
              </w:rPr>
              <w:t>合</w:t>
            </w:r>
          </w:p>
          <w:p w14:paraId="0E86F138">
            <w:pPr>
              <w:pStyle w:val="47"/>
              <w:spacing w:line="360" w:lineRule="auto"/>
              <w:jc w:val="center"/>
              <w:rPr>
                <w:rFonts w:hAnsi="宋体"/>
                <w:color w:val="auto"/>
                <w:szCs w:val="24"/>
                <w:highlight w:val="none"/>
              </w:rPr>
            </w:pPr>
            <w:r>
              <w:rPr>
                <w:rFonts w:hint="eastAsia" w:hAnsi="宋体"/>
                <w:color w:val="auto"/>
                <w:szCs w:val="24"/>
                <w:highlight w:val="none"/>
              </w:rPr>
              <w:t>性</w:t>
            </w:r>
          </w:p>
          <w:p w14:paraId="0CDC84BC">
            <w:pPr>
              <w:pStyle w:val="47"/>
              <w:spacing w:line="360" w:lineRule="auto"/>
              <w:jc w:val="center"/>
              <w:rPr>
                <w:rFonts w:hAnsi="宋体"/>
                <w:color w:val="auto"/>
                <w:szCs w:val="24"/>
                <w:highlight w:val="none"/>
              </w:rPr>
            </w:pPr>
            <w:r>
              <w:rPr>
                <w:rFonts w:hint="eastAsia" w:hAnsi="宋体"/>
                <w:color w:val="auto"/>
                <w:szCs w:val="24"/>
                <w:highlight w:val="none"/>
              </w:rPr>
              <w:t>审</w:t>
            </w:r>
          </w:p>
          <w:p w14:paraId="4D3C9E33">
            <w:pPr>
              <w:pStyle w:val="47"/>
              <w:spacing w:line="360" w:lineRule="auto"/>
              <w:jc w:val="center"/>
              <w:rPr>
                <w:rFonts w:hAnsi="宋体"/>
                <w:color w:val="auto"/>
                <w:szCs w:val="24"/>
                <w:highlight w:val="none"/>
              </w:rPr>
            </w:pPr>
            <w:r>
              <w:rPr>
                <w:rFonts w:hint="eastAsia" w:hAnsi="宋体"/>
                <w:color w:val="auto"/>
                <w:szCs w:val="24"/>
                <w:highlight w:val="none"/>
              </w:rPr>
              <w:t>查</w:t>
            </w:r>
          </w:p>
        </w:tc>
        <w:tc>
          <w:tcPr>
            <w:tcW w:w="960" w:type="dxa"/>
            <w:vMerge w:val="restart"/>
            <w:vAlign w:val="center"/>
          </w:tcPr>
          <w:p w14:paraId="4DA3703E">
            <w:pPr>
              <w:pStyle w:val="47"/>
              <w:adjustRightInd/>
              <w:snapToGrid w:val="0"/>
              <w:jc w:val="center"/>
              <w:rPr>
                <w:rFonts w:hAnsi="宋体"/>
                <w:color w:val="auto"/>
                <w:szCs w:val="24"/>
                <w:highlight w:val="none"/>
              </w:rPr>
            </w:pPr>
            <w:r>
              <w:rPr>
                <w:rFonts w:hint="eastAsia" w:hAnsi="宋体"/>
                <w:color w:val="auto"/>
                <w:szCs w:val="24"/>
                <w:highlight w:val="none"/>
              </w:rPr>
              <w:t>有效性</w:t>
            </w:r>
          </w:p>
        </w:tc>
        <w:tc>
          <w:tcPr>
            <w:tcW w:w="2217" w:type="dxa"/>
            <w:vAlign w:val="center"/>
          </w:tcPr>
          <w:p w14:paraId="6C0AD6EF">
            <w:pPr>
              <w:pStyle w:val="47"/>
              <w:adjustRightInd/>
              <w:snapToGrid w:val="0"/>
              <w:jc w:val="center"/>
              <w:rPr>
                <w:rFonts w:hAnsi="宋体"/>
                <w:color w:val="auto"/>
                <w:szCs w:val="24"/>
                <w:highlight w:val="none"/>
              </w:rPr>
            </w:pPr>
            <w:r>
              <w:rPr>
                <w:rFonts w:hint="eastAsia" w:hAnsi="宋体"/>
                <w:color w:val="auto"/>
                <w:szCs w:val="24"/>
                <w:highlight w:val="none"/>
              </w:rPr>
              <w:t>投标人名称</w:t>
            </w:r>
          </w:p>
        </w:tc>
        <w:tc>
          <w:tcPr>
            <w:tcW w:w="5736" w:type="dxa"/>
            <w:vAlign w:val="center"/>
          </w:tcPr>
          <w:p w14:paraId="3E294A71">
            <w:pPr>
              <w:pStyle w:val="47"/>
              <w:adjustRightInd/>
              <w:snapToGrid w:val="0"/>
              <w:rPr>
                <w:rFonts w:hAnsi="宋体"/>
                <w:color w:val="auto"/>
                <w:szCs w:val="24"/>
                <w:highlight w:val="none"/>
              </w:rPr>
            </w:pPr>
            <w:r>
              <w:rPr>
                <w:rFonts w:hint="eastAsia" w:hAnsi="宋体"/>
                <w:color w:val="auto"/>
                <w:szCs w:val="24"/>
                <w:highlight w:val="none"/>
              </w:rPr>
              <w:t>与营业执照证等证照及签章一致</w:t>
            </w:r>
          </w:p>
        </w:tc>
      </w:tr>
      <w:tr w14:paraId="145A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14:paraId="4D8172E6">
            <w:pPr>
              <w:pStyle w:val="47"/>
              <w:spacing w:line="360" w:lineRule="auto"/>
              <w:jc w:val="center"/>
              <w:rPr>
                <w:rFonts w:hAnsi="宋体"/>
                <w:color w:val="auto"/>
                <w:szCs w:val="24"/>
                <w:highlight w:val="none"/>
              </w:rPr>
            </w:pPr>
          </w:p>
        </w:tc>
        <w:tc>
          <w:tcPr>
            <w:tcW w:w="560" w:type="dxa"/>
            <w:vMerge w:val="continue"/>
            <w:vAlign w:val="center"/>
          </w:tcPr>
          <w:p w14:paraId="3D16D902">
            <w:pPr>
              <w:pStyle w:val="47"/>
              <w:spacing w:line="360" w:lineRule="auto"/>
              <w:jc w:val="center"/>
              <w:rPr>
                <w:rFonts w:hAnsi="宋体"/>
                <w:color w:val="auto"/>
                <w:szCs w:val="24"/>
                <w:highlight w:val="none"/>
              </w:rPr>
            </w:pPr>
          </w:p>
        </w:tc>
        <w:tc>
          <w:tcPr>
            <w:tcW w:w="960" w:type="dxa"/>
            <w:vMerge w:val="continue"/>
            <w:vAlign w:val="center"/>
          </w:tcPr>
          <w:p w14:paraId="1C81CCBB">
            <w:pPr>
              <w:pStyle w:val="47"/>
              <w:adjustRightInd/>
              <w:snapToGrid w:val="0"/>
              <w:jc w:val="center"/>
              <w:rPr>
                <w:rFonts w:hAnsi="宋体"/>
                <w:color w:val="auto"/>
                <w:szCs w:val="24"/>
                <w:highlight w:val="none"/>
              </w:rPr>
            </w:pPr>
          </w:p>
        </w:tc>
        <w:tc>
          <w:tcPr>
            <w:tcW w:w="2217" w:type="dxa"/>
            <w:vAlign w:val="center"/>
          </w:tcPr>
          <w:p w14:paraId="565D49F8">
            <w:pPr>
              <w:pStyle w:val="47"/>
              <w:adjustRightInd/>
              <w:snapToGrid w:val="0"/>
              <w:jc w:val="center"/>
              <w:rPr>
                <w:rFonts w:hAnsi="宋体"/>
                <w:color w:val="auto"/>
                <w:szCs w:val="24"/>
                <w:highlight w:val="none"/>
              </w:rPr>
            </w:pPr>
            <w:r>
              <w:rPr>
                <w:rFonts w:hint="eastAsia" w:hAnsi="宋体"/>
                <w:color w:val="auto"/>
                <w:szCs w:val="24"/>
                <w:highlight w:val="none"/>
              </w:rPr>
              <w:t>签字或盖章</w:t>
            </w:r>
          </w:p>
        </w:tc>
        <w:tc>
          <w:tcPr>
            <w:tcW w:w="5736" w:type="dxa"/>
            <w:vAlign w:val="center"/>
          </w:tcPr>
          <w:p w14:paraId="398C3FCF">
            <w:pPr>
              <w:pStyle w:val="47"/>
              <w:adjustRightInd/>
              <w:snapToGrid w:val="0"/>
              <w:rPr>
                <w:rFonts w:hAnsi="宋体"/>
                <w:color w:val="auto"/>
                <w:szCs w:val="24"/>
                <w:highlight w:val="none"/>
              </w:rPr>
            </w:pPr>
            <w:r>
              <w:rPr>
                <w:rFonts w:hint="eastAsia" w:hAnsi="宋体"/>
                <w:color w:val="auto"/>
                <w:szCs w:val="24"/>
                <w:highlight w:val="none"/>
              </w:rPr>
              <w:t>符合第三章“投标人须知”</w:t>
            </w:r>
            <w:r>
              <w:rPr>
                <w:rFonts w:hAnsi="宋体"/>
                <w:color w:val="auto"/>
                <w:szCs w:val="24"/>
                <w:highlight w:val="none"/>
              </w:rPr>
              <w:t>3.7.4</w:t>
            </w:r>
            <w:r>
              <w:rPr>
                <w:rFonts w:hint="eastAsia" w:hAnsi="宋体"/>
                <w:color w:val="auto"/>
                <w:szCs w:val="24"/>
                <w:highlight w:val="none"/>
              </w:rPr>
              <w:t>项规定</w:t>
            </w:r>
          </w:p>
        </w:tc>
      </w:tr>
      <w:tr w14:paraId="0786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64" w:type="dxa"/>
            <w:vMerge w:val="continue"/>
            <w:vAlign w:val="center"/>
          </w:tcPr>
          <w:p w14:paraId="7095AF17">
            <w:pPr>
              <w:pStyle w:val="47"/>
              <w:spacing w:line="360" w:lineRule="auto"/>
              <w:jc w:val="center"/>
              <w:rPr>
                <w:rFonts w:hAnsi="宋体"/>
                <w:color w:val="auto"/>
                <w:szCs w:val="24"/>
                <w:highlight w:val="none"/>
              </w:rPr>
            </w:pPr>
          </w:p>
        </w:tc>
        <w:tc>
          <w:tcPr>
            <w:tcW w:w="560" w:type="dxa"/>
            <w:vMerge w:val="continue"/>
            <w:vAlign w:val="center"/>
          </w:tcPr>
          <w:p w14:paraId="1A223D30">
            <w:pPr>
              <w:pStyle w:val="47"/>
              <w:spacing w:line="360" w:lineRule="auto"/>
              <w:jc w:val="center"/>
              <w:rPr>
                <w:rFonts w:hAnsi="宋体"/>
                <w:color w:val="auto"/>
                <w:szCs w:val="24"/>
                <w:highlight w:val="none"/>
              </w:rPr>
            </w:pPr>
          </w:p>
        </w:tc>
        <w:tc>
          <w:tcPr>
            <w:tcW w:w="960" w:type="dxa"/>
            <w:vAlign w:val="center"/>
          </w:tcPr>
          <w:p w14:paraId="75612821">
            <w:pPr>
              <w:pStyle w:val="47"/>
              <w:adjustRightInd/>
              <w:snapToGrid w:val="0"/>
              <w:jc w:val="center"/>
              <w:rPr>
                <w:rFonts w:hAnsi="宋体"/>
                <w:color w:val="auto"/>
                <w:szCs w:val="24"/>
                <w:highlight w:val="none"/>
              </w:rPr>
            </w:pPr>
            <w:r>
              <w:rPr>
                <w:rFonts w:hint="eastAsia" w:hAnsi="宋体"/>
                <w:color w:val="auto"/>
                <w:szCs w:val="24"/>
                <w:highlight w:val="none"/>
              </w:rPr>
              <w:t>完整性</w:t>
            </w:r>
          </w:p>
        </w:tc>
        <w:tc>
          <w:tcPr>
            <w:tcW w:w="2217" w:type="dxa"/>
            <w:vAlign w:val="center"/>
          </w:tcPr>
          <w:p w14:paraId="49CE208D">
            <w:pPr>
              <w:pStyle w:val="47"/>
              <w:adjustRightInd/>
              <w:snapToGrid w:val="0"/>
              <w:jc w:val="center"/>
              <w:rPr>
                <w:rFonts w:hAnsi="宋体"/>
                <w:color w:val="auto"/>
                <w:szCs w:val="24"/>
                <w:highlight w:val="none"/>
              </w:rPr>
            </w:pPr>
            <w:r>
              <w:rPr>
                <w:rFonts w:hint="eastAsia" w:hAnsi="宋体"/>
                <w:color w:val="auto"/>
                <w:szCs w:val="24"/>
                <w:highlight w:val="none"/>
              </w:rPr>
              <w:t>投标文件组成</w:t>
            </w:r>
          </w:p>
        </w:tc>
        <w:tc>
          <w:tcPr>
            <w:tcW w:w="5736" w:type="dxa"/>
            <w:vAlign w:val="center"/>
          </w:tcPr>
          <w:p w14:paraId="181ED4EA">
            <w:pPr>
              <w:pStyle w:val="47"/>
              <w:adjustRightInd/>
              <w:snapToGrid w:val="0"/>
              <w:rPr>
                <w:rFonts w:hAnsi="宋体"/>
                <w:color w:val="auto"/>
                <w:szCs w:val="24"/>
                <w:highlight w:val="none"/>
              </w:rPr>
            </w:pPr>
            <w:r>
              <w:rPr>
                <w:rFonts w:hint="eastAsia" w:hAnsi="宋体"/>
                <w:color w:val="auto"/>
                <w:szCs w:val="24"/>
                <w:highlight w:val="none"/>
              </w:rPr>
              <w:t>符合第三章“投标人须知”</w:t>
            </w:r>
            <w:r>
              <w:rPr>
                <w:rFonts w:hAnsi="宋体"/>
                <w:color w:val="auto"/>
                <w:szCs w:val="24"/>
                <w:highlight w:val="none"/>
              </w:rPr>
              <w:t>3.2</w:t>
            </w:r>
            <w:r>
              <w:rPr>
                <w:rFonts w:hint="eastAsia" w:hAnsi="宋体"/>
                <w:color w:val="auto"/>
                <w:szCs w:val="24"/>
                <w:highlight w:val="none"/>
              </w:rPr>
              <w:t>款规定</w:t>
            </w:r>
          </w:p>
        </w:tc>
      </w:tr>
      <w:tr w14:paraId="7703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64" w:type="dxa"/>
            <w:vMerge w:val="continue"/>
            <w:vAlign w:val="center"/>
          </w:tcPr>
          <w:p w14:paraId="2EF4E7E3">
            <w:pPr>
              <w:pStyle w:val="47"/>
              <w:spacing w:line="360" w:lineRule="auto"/>
              <w:jc w:val="center"/>
              <w:rPr>
                <w:rFonts w:hAnsi="宋体"/>
                <w:color w:val="auto"/>
                <w:szCs w:val="24"/>
                <w:highlight w:val="none"/>
              </w:rPr>
            </w:pPr>
          </w:p>
        </w:tc>
        <w:tc>
          <w:tcPr>
            <w:tcW w:w="560" w:type="dxa"/>
            <w:vMerge w:val="continue"/>
            <w:vAlign w:val="center"/>
          </w:tcPr>
          <w:p w14:paraId="7511B4FE">
            <w:pPr>
              <w:pStyle w:val="47"/>
              <w:spacing w:line="360" w:lineRule="auto"/>
              <w:jc w:val="center"/>
              <w:rPr>
                <w:rFonts w:hAnsi="宋体"/>
                <w:color w:val="auto"/>
                <w:szCs w:val="24"/>
                <w:highlight w:val="none"/>
              </w:rPr>
            </w:pPr>
          </w:p>
        </w:tc>
        <w:tc>
          <w:tcPr>
            <w:tcW w:w="960" w:type="dxa"/>
            <w:vMerge w:val="restart"/>
            <w:vAlign w:val="center"/>
          </w:tcPr>
          <w:p w14:paraId="67624E90">
            <w:pPr>
              <w:pStyle w:val="47"/>
              <w:snapToGrid w:val="0"/>
              <w:jc w:val="center"/>
              <w:rPr>
                <w:rFonts w:hAnsi="宋体"/>
                <w:color w:val="auto"/>
                <w:szCs w:val="24"/>
                <w:highlight w:val="none"/>
              </w:rPr>
            </w:pPr>
            <w:r>
              <w:rPr>
                <w:rFonts w:hint="eastAsia" w:hAnsi="宋体"/>
                <w:color w:val="auto"/>
                <w:szCs w:val="24"/>
                <w:highlight w:val="none"/>
              </w:rPr>
              <w:t>响应程度</w:t>
            </w:r>
          </w:p>
        </w:tc>
        <w:tc>
          <w:tcPr>
            <w:tcW w:w="2217" w:type="dxa"/>
            <w:vAlign w:val="center"/>
          </w:tcPr>
          <w:p w14:paraId="38CC0F3D">
            <w:pPr>
              <w:pStyle w:val="47"/>
              <w:adjustRightInd/>
              <w:snapToGrid w:val="0"/>
              <w:jc w:val="center"/>
              <w:rPr>
                <w:rFonts w:hAnsi="宋体"/>
                <w:color w:val="auto"/>
                <w:szCs w:val="24"/>
                <w:highlight w:val="none"/>
              </w:rPr>
            </w:pPr>
            <w:r>
              <w:rPr>
                <w:rFonts w:hint="eastAsia" w:hAnsi="宋体"/>
                <w:color w:val="auto"/>
                <w:szCs w:val="24"/>
                <w:highlight w:val="none"/>
              </w:rPr>
              <w:t>投标报价</w:t>
            </w:r>
          </w:p>
        </w:tc>
        <w:tc>
          <w:tcPr>
            <w:tcW w:w="5736" w:type="dxa"/>
            <w:vAlign w:val="center"/>
          </w:tcPr>
          <w:p w14:paraId="41BA3171">
            <w:pPr>
              <w:pStyle w:val="47"/>
              <w:adjustRightInd/>
              <w:snapToGrid w:val="0"/>
              <w:rPr>
                <w:rFonts w:hAnsi="宋体"/>
                <w:color w:val="auto"/>
                <w:szCs w:val="24"/>
                <w:highlight w:val="none"/>
              </w:rPr>
            </w:pPr>
            <w:r>
              <w:rPr>
                <w:rFonts w:hint="eastAsia" w:hAnsi="宋体"/>
                <w:color w:val="auto"/>
                <w:szCs w:val="24"/>
                <w:highlight w:val="none"/>
              </w:rPr>
              <w:t>符合第二章“采购项目及服务要求”</w:t>
            </w:r>
            <w:r>
              <w:rPr>
                <w:rFonts w:hAnsi="宋体"/>
                <w:color w:val="auto"/>
                <w:szCs w:val="24"/>
                <w:highlight w:val="none"/>
              </w:rPr>
              <w:t>1.3</w:t>
            </w:r>
            <w:r>
              <w:rPr>
                <w:rFonts w:hint="eastAsia" w:hAnsi="宋体"/>
                <w:color w:val="auto"/>
                <w:szCs w:val="24"/>
                <w:highlight w:val="none"/>
              </w:rPr>
              <w:t>款规定</w:t>
            </w:r>
          </w:p>
        </w:tc>
      </w:tr>
      <w:tr w14:paraId="2990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4" w:type="dxa"/>
            <w:vMerge w:val="continue"/>
            <w:vAlign w:val="center"/>
          </w:tcPr>
          <w:p w14:paraId="5D85E6ED">
            <w:pPr>
              <w:pStyle w:val="47"/>
              <w:spacing w:line="360" w:lineRule="auto"/>
              <w:jc w:val="center"/>
              <w:rPr>
                <w:rFonts w:hAnsi="宋体"/>
                <w:color w:val="auto"/>
                <w:szCs w:val="24"/>
                <w:highlight w:val="none"/>
              </w:rPr>
            </w:pPr>
          </w:p>
        </w:tc>
        <w:tc>
          <w:tcPr>
            <w:tcW w:w="560" w:type="dxa"/>
            <w:vMerge w:val="continue"/>
            <w:vAlign w:val="center"/>
          </w:tcPr>
          <w:p w14:paraId="2D742662">
            <w:pPr>
              <w:pStyle w:val="47"/>
              <w:spacing w:line="360" w:lineRule="auto"/>
              <w:jc w:val="center"/>
              <w:rPr>
                <w:rFonts w:hAnsi="宋体"/>
                <w:color w:val="auto"/>
                <w:szCs w:val="24"/>
                <w:highlight w:val="none"/>
              </w:rPr>
            </w:pPr>
          </w:p>
        </w:tc>
        <w:tc>
          <w:tcPr>
            <w:tcW w:w="960" w:type="dxa"/>
            <w:vMerge w:val="continue"/>
            <w:vAlign w:val="center"/>
          </w:tcPr>
          <w:p w14:paraId="259E639C">
            <w:pPr>
              <w:pStyle w:val="47"/>
              <w:snapToGrid w:val="0"/>
              <w:jc w:val="center"/>
              <w:rPr>
                <w:rFonts w:hAnsi="宋体"/>
                <w:color w:val="auto"/>
                <w:szCs w:val="24"/>
                <w:highlight w:val="none"/>
              </w:rPr>
            </w:pPr>
          </w:p>
        </w:tc>
        <w:tc>
          <w:tcPr>
            <w:tcW w:w="2217" w:type="dxa"/>
            <w:vAlign w:val="center"/>
          </w:tcPr>
          <w:p w14:paraId="7CDF427C">
            <w:pPr>
              <w:pStyle w:val="47"/>
              <w:adjustRightInd/>
              <w:snapToGrid w:val="0"/>
              <w:jc w:val="center"/>
              <w:rPr>
                <w:rFonts w:hAnsi="宋体"/>
                <w:color w:val="auto"/>
                <w:szCs w:val="24"/>
                <w:highlight w:val="none"/>
              </w:rPr>
            </w:pPr>
            <w:r>
              <w:rPr>
                <w:rFonts w:hint="eastAsia" w:hAnsi="宋体"/>
                <w:color w:val="auto"/>
                <w:szCs w:val="24"/>
                <w:highlight w:val="none"/>
              </w:rPr>
              <w:t>投标内容、</w:t>
            </w:r>
          </w:p>
          <w:p w14:paraId="005FAC83">
            <w:pPr>
              <w:pStyle w:val="47"/>
              <w:adjustRightInd/>
              <w:snapToGrid w:val="0"/>
              <w:jc w:val="center"/>
              <w:rPr>
                <w:rFonts w:hAnsi="宋体"/>
                <w:color w:val="auto"/>
                <w:szCs w:val="24"/>
                <w:highlight w:val="none"/>
              </w:rPr>
            </w:pPr>
            <w:r>
              <w:rPr>
                <w:rFonts w:hint="eastAsia" w:hAnsi="宋体"/>
                <w:color w:val="auto"/>
                <w:szCs w:val="24"/>
                <w:highlight w:val="none"/>
              </w:rPr>
              <w:t>服务要求</w:t>
            </w:r>
          </w:p>
        </w:tc>
        <w:tc>
          <w:tcPr>
            <w:tcW w:w="5736" w:type="dxa"/>
            <w:vAlign w:val="center"/>
          </w:tcPr>
          <w:p w14:paraId="5D84ED6C">
            <w:pPr>
              <w:pStyle w:val="47"/>
              <w:adjustRightInd/>
              <w:snapToGrid w:val="0"/>
              <w:rPr>
                <w:rFonts w:hAnsi="宋体"/>
                <w:color w:val="auto"/>
                <w:szCs w:val="24"/>
                <w:highlight w:val="none"/>
              </w:rPr>
            </w:pPr>
            <w:r>
              <w:rPr>
                <w:rFonts w:hint="eastAsia" w:hAnsi="宋体"/>
                <w:color w:val="auto"/>
                <w:szCs w:val="24"/>
                <w:highlight w:val="none"/>
              </w:rPr>
              <w:t>符合第二章“采购项目及服务要求”</w:t>
            </w:r>
            <w:r>
              <w:rPr>
                <w:rFonts w:hAnsi="宋体"/>
                <w:color w:val="auto"/>
                <w:szCs w:val="24"/>
                <w:highlight w:val="none"/>
              </w:rPr>
              <w:t>2</w:t>
            </w:r>
            <w:r>
              <w:rPr>
                <w:rFonts w:hint="eastAsia" w:hAnsi="宋体"/>
                <w:color w:val="auto"/>
                <w:szCs w:val="24"/>
                <w:highlight w:val="none"/>
              </w:rPr>
              <w:t>条规定</w:t>
            </w:r>
          </w:p>
        </w:tc>
      </w:tr>
      <w:tr w14:paraId="02A8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14:paraId="7859A104">
            <w:pPr>
              <w:pStyle w:val="47"/>
              <w:spacing w:line="360" w:lineRule="auto"/>
              <w:jc w:val="center"/>
              <w:rPr>
                <w:rFonts w:hAnsi="宋体"/>
                <w:color w:val="auto"/>
                <w:szCs w:val="24"/>
                <w:highlight w:val="none"/>
              </w:rPr>
            </w:pPr>
          </w:p>
        </w:tc>
        <w:tc>
          <w:tcPr>
            <w:tcW w:w="560" w:type="dxa"/>
            <w:vMerge w:val="continue"/>
            <w:vAlign w:val="center"/>
          </w:tcPr>
          <w:p w14:paraId="071CB2D6">
            <w:pPr>
              <w:pStyle w:val="47"/>
              <w:spacing w:line="360" w:lineRule="auto"/>
              <w:jc w:val="center"/>
              <w:rPr>
                <w:rFonts w:hAnsi="宋体"/>
                <w:color w:val="auto"/>
                <w:szCs w:val="24"/>
                <w:highlight w:val="none"/>
              </w:rPr>
            </w:pPr>
          </w:p>
        </w:tc>
        <w:tc>
          <w:tcPr>
            <w:tcW w:w="960" w:type="dxa"/>
            <w:vMerge w:val="continue"/>
            <w:vAlign w:val="center"/>
          </w:tcPr>
          <w:p w14:paraId="2E2B664D">
            <w:pPr>
              <w:pStyle w:val="47"/>
              <w:snapToGrid w:val="0"/>
              <w:jc w:val="center"/>
              <w:rPr>
                <w:rFonts w:hAnsi="宋体"/>
                <w:color w:val="auto"/>
                <w:szCs w:val="24"/>
                <w:highlight w:val="none"/>
              </w:rPr>
            </w:pPr>
          </w:p>
        </w:tc>
        <w:tc>
          <w:tcPr>
            <w:tcW w:w="2217" w:type="dxa"/>
            <w:vAlign w:val="center"/>
          </w:tcPr>
          <w:p w14:paraId="282C0E73">
            <w:pPr>
              <w:pStyle w:val="47"/>
              <w:adjustRightInd/>
              <w:snapToGrid w:val="0"/>
              <w:jc w:val="center"/>
              <w:rPr>
                <w:rFonts w:hAnsi="宋体"/>
                <w:color w:val="auto"/>
                <w:szCs w:val="24"/>
                <w:highlight w:val="none"/>
              </w:rPr>
            </w:pPr>
            <w:r>
              <w:rPr>
                <w:rFonts w:hint="eastAsia" w:hAnsi="宋体"/>
                <w:color w:val="auto"/>
                <w:szCs w:val="24"/>
                <w:highlight w:val="none"/>
              </w:rPr>
              <w:t>服务期、服务地</w:t>
            </w:r>
          </w:p>
        </w:tc>
        <w:tc>
          <w:tcPr>
            <w:tcW w:w="5736" w:type="dxa"/>
            <w:vAlign w:val="center"/>
          </w:tcPr>
          <w:p w14:paraId="04DAB181">
            <w:pPr>
              <w:pStyle w:val="47"/>
              <w:adjustRightInd/>
              <w:snapToGrid w:val="0"/>
              <w:jc w:val="both"/>
              <w:rPr>
                <w:rFonts w:hAnsi="宋体"/>
                <w:color w:val="auto"/>
                <w:szCs w:val="24"/>
                <w:highlight w:val="none"/>
              </w:rPr>
            </w:pPr>
            <w:r>
              <w:rPr>
                <w:rFonts w:hint="eastAsia" w:hAnsi="宋体"/>
                <w:color w:val="auto"/>
                <w:szCs w:val="24"/>
                <w:highlight w:val="none"/>
              </w:rPr>
              <w:t>符合第二章“采购项目及服务要求”</w:t>
            </w:r>
            <w:r>
              <w:rPr>
                <w:rFonts w:hAnsi="宋体"/>
                <w:color w:val="auto"/>
                <w:szCs w:val="24"/>
                <w:highlight w:val="none"/>
              </w:rPr>
              <w:t>1.2</w:t>
            </w:r>
            <w:r>
              <w:rPr>
                <w:rFonts w:hint="eastAsia" w:hAnsi="宋体"/>
                <w:color w:val="auto"/>
                <w:szCs w:val="24"/>
                <w:highlight w:val="none"/>
              </w:rPr>
              <w:t>款规定</w:t>
            </w:r>
          </w:p>
        </w:tc>
      </w:tr>
      <w:tr w14:paraId="7903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64" w:type="dxa"/>
            <w:vMerge w:val="continue"/>
            <w:vAlign w:val="center"/>
          </w:tcPr>
          <w:p w14:paraId="4D2CD2C0">
            <w:pPr>
              <w:pStyle w:val="47"/>
              <w:spacing w:line="360" w:lineRule="auto"/>
              <w:jc w:val="center"/>
              <w:rPr>
                <w:rFonts w:hAnsi="宋体"/>
                <w:color w:val="auto"/>
                <w:szCs w:val="24"/>
                <w:highlight w:val="none"/>
              </w:rPr>
            </w:pPr>
          </w:p>
        </w:tc>
        <w:tc>
          <w:tcPr>
            <w:tcW w:w="560" w:type="dxa"/>
            <w:vMerge w:val="continue"/>
            <w:vAlign w:val="center"/>
          </w:tcPr>
          <w:p w14:paraId="0DC35A82">
            <w:pPr>
              <w:pStyle w:val="47"/>
              <w:spacing w:line="360" w:lineRule="auto"/>
              <w:jc w:val="center"/>
              <w:rPr>
                <w:rFonts w:hAnsi="宋体"/>
                <w:color w:val="auto"/>
                <w:szCs w:val="24"/>
                <w:highlight w:val="none"/>
              </w:rPr>
            </w:pPr>
          </w:p>
        </w:tc>
        <w:tc>
          <w:tcPr>
            <w:tcW w:w="960" w:type="dxa"/>
            <w:vMerge w:val="continue"/>
            <w:vAlign w:val="center"/>
          </w:tcPr>
          <w:p w14:paraId="6E3297A0">
            <w:pPr>
              <w:pStyle w:val="47"/>
              <w:adjustRightInd/>
              <w:snapToGrid w:val="0"/>
              <w:jc w:val="center"/>
              <w:rPr>
                <w:rFonts w:hAnsi="宋体"/>
                <w:color w:val="auto"/>
                <w:szCs w:val="24"/>
                <w:highlight w:val="none"/>
              </w:rPr>
            </w:pPr>
          </w:p>
        </w:tc>
        <w:tc>
          <w:tcPr>
            <w:tcW w:w="2217" w:type="dxa"/>
            <w:vAlign w:val="center"/>
          </w:tcPr>
          <w:p w14:paraId="6C0E43C2">
            <w:pPr>
              <w:pStyle w:val="47"/>
              <w:adjustRightInd/>
              <w:snapToGrid w:val="0"/>
              <w:jc w:val="center"/>
              <w:rPr>
                <w:rFonts w:hAnsi="宋体"/>
                <w:color w:val="auto"/>
                <w:szCs w:val="24"/>
                <w:highlight w:val="none"/>
              </w:rPr>
            </w:pPr>
            <w:r>
              <w:rPr>
                <w:rFonts w:hint="eastAsia" w:hAnsi="宋体"/>
                <w:color w:val="auto"/>
                <w:szCs w:val="24"/>
                <w:highlight w:val="none"/>
              </w:rPr>
              <w:t>投标有效期</w:t>
            </w:r>
          </w:p>
        </w:tc>
        <w:tc>
          <w:tcPr>
            <w:tcW w:w="5736" w:type="dxa"/>
            <w:vAlign w:val="center"/>
          </w:tcPr>
          <w:p w14:paraId="55C26D00">
            <w:pPr>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3.4</w:t>
            </w:r>
            <w:r>
              <w:rPr>
                <w:rFonts w:hint="eastAsia" w:ascii="宋体" w:hAnsi="宋体"/>
                <w:color w:val="auto"/>
                <w:sz w:val="24"/>
                <w:highlight w:val="none"/>
              </w:rPr>
              <w:t>款规定</w:t>
            </w:r>
          </w:p>
        </w:tc>
      </w:tr>
      <w:tr w14:paraId="5063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64" w:type="dxa"/>
            <w:vMerge w:val="continue"/>
            <w:vAlign w:val="center"/>
          </w:tcPr>
          <w:p w14:paraId="1D976739">
            <w:pPr>
              <w:pStyle w:val="47"/>
              <w:spacing w:line="360" w:lineRule="auto"/>
              <w:jc w:val="center"/>
              <w:rPr>
                <w:rFonts w:hAnsi="宋体"/>
                <w:color w:val="auto"/>
                <w:szCs w:val="24"/>
                <w:highlight w:val="none"/>
              </w:rPr>
            </w:pPr>
          </w:p>
        </w:tc>
        <w:tc>
          <w:tcPr>
            <w:tcW w:w="560" w:type="dxa"/>
            <w:vMerge w:val="continue"/>
            <w:vAlign w:val="center"/>
          </w:tcPr>
          <w:p w14:paraId="14D865C5">
            <w:pPr>
              <w:pStyle w:val="47"/>
              <w:spacing w:line="360" w:lineRule="auto"/>
              <w:jc w:val="center"/>
              <w:rPr>
                <w:rFonts w:hAnsi="宋体"/>
                <w:color w:val="auto"/>
                <w:szCs w:val="24"/>
                <w:highlight w:val="none"/>
              </w:rPr>
            </w:pPr>
          </w:p>
        </w:tc>
        <w:tc>
          <w:tcPr>
            <w:tcW w:w="960" w:type="dxa"/>
            <w:vMerge w:val="continue"/>
            <w:vAlign w:val="center"/>
          </w:tcPr>
          <w:p w14:paraId="0ACF12FF">
            <w:pPr>
              <w:pStyle w:val="47"/>
              <w:adjustRightInd/>
              <w:snapToGrid w:val="0"/>
              <w:jc w:val="center"/>
              <w:rPr>
                <w:rFonts w:hAnsi="宋体"/>
                <w:color w:val="auto"/>
                <w:szCs w:val="24"/>
                <w:highlight w:val="none"/>
              </w:rPr>
            </w:pPr>
          </w:p>
        </w:tc>
        <w:tc>
          <w:tcPr>
            <w:tcW w:w="2217" w:type="dxa"/>
            <w:vAlign w:val="center"/>
          </w:tcPr>
          <w:p w14:paraId="40F942A0">
            <w:pPr>
              <w:pStyle w:val="47"/>
              <w:adjustRightInd/>
              <w:snapToGrid w:val="0"/>
              <w:jc w:val="center"/>
              <w:rPr>
                <w:rFonts w:hAnsi="宋体"/>
                <w:color w:val="auto"/>
                <w:szCs w:val="24"/>
                <w:highlight w:val="none"/>
              </w:rPr>
            </w:pPr>
            <w:r>
              <w:rPr>
                <w:rFonts w:hint="eastAsia" w:hAnsi="宋体"/>
                <w:color w:val="auto"/>
                <w:szCs w:val="24"/>
                <w:highlight w:val="none"/>
              </w:rPr>
              <w:t>投标文件格式</w:t>
            </w:r>
          </w:p>
        </w:tc>
        <w:tc>
          <w:tcPr>
            <w:tcW w:w="5736" w:type="dxa"/>
            <w:vAlign w:val="center"/>
          </w:tcPr>
          <w:p w14:paraId="657E40D7">
            <w:pPr>
              <w:pStyle w:val="47"/>
              <w:adjustRightInd/>
              <w:snapToGrid w:val="0"/>
              <w:rPr>
                <w:rFonts w:hAnsi="宋体"/>
                <w:color w:val="auto"/>
                <w:szCs w:val="24"/>
                <w:highlight w:val="none"/>
              </w:rPr>
            </w:pPr>
            <w:r>
              <w:rPr>
                <w:rFonts w:hint="eastAsia" w:hAnsi="宋体"/>
                <w:color w:val="auto"/>
                <w:szCs w:val="24"/>
                <w:highlight w:val="none"/>
              </w:rPr>
              <w:t>符合第六章“投标文件格式”规定</w:t>
            </w:r>
          </w:p>
        </w:tc>
      </w:tr>
      <w:tr w14:paraId="2CC9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7B3A035D">
            <w:pPr>
              <w:pStyle w:val="47"/>
              <w:spacing w:line="360" w:lineRule="auto"/>
              <w:jc w:val="center"/>
              <w:rPr>
                <w:rFonts w:hAnsi="宋体"/>
                <w:color w:val="auto"/>
                <w:szCs w:val="24"/>
                <w:highlight w:val="none"/>
              </w:rPr>
            </w:pPr>
          </w:p>
        </w:tc>
        <w:tc>
          <w:tcPr>
            <w:tcW w:w="560" w:type="dxa"/>
            <w:vMerge w:val="continue"/>
            <w:vAlign w:val="center"/>
          </w:tcPr>
          <w:p w14:paraId="477EA6E5">
            <w:pPr>
              <w:pStyle w:val="47"/>
              <w:spacing w:line="360" w:lineRule="auto"/>
              <w:jc w:val="center"/>
              <w:rPr>
                <w:rFonts w:hAnsi="宋体"/>
                <w:color w:val="auto"/>
                <w:szCs w:val="24"/>
                <w:highlight w:val="none"/>
              </w:rPr>
            </w:pPr>
          </w:p>
        </w:tc>
        <w:tc>
          <w:tcPr>
            <w:tcW w:w="960" w:type="dxa"/>
            <w:vMerge w:val="continue"/>
            <w:vAlign w:val="center"/>
          </w:tcPr>
          <w:p w14:paraId="2CCAA806">
            <w:pPr>
              <w:pStyle w:val="47"/>
              <w:adjustRightInd/>
              <w:snapToGrid w:val="0"/>
              <w:jc w:val="center"/>
              <w:rPr>
                <w:rFonts w:hAnsi="宋体"/>
                <w:color w:val="auto"/>
                <w:szCs w:val="24"/>
                <w:highlight w:val="none"/>
              </w:rPr>
            </w:pPr>
          </w:p>
        </w:tc>
        <w:tc>
          <w:tcPr>
            <w:tcW w:w="2217" w:type="dxa"/>
            <w:vAlign w:val="center"/>
          </w:tcPr>
          <w:p w14:paraId="0C4E142A">
            <w:pPr>
              <w:pStyle w:val="47"/>
              <w:adjustRightInd/>
              <w:snapToGrid w:val="0"/>
              <w:jc w:val="center"/>
              <w:rPr>
                <w:rFonts w:hAnsi="宋体"/>
                <w:color w:val="auto"/>
                <w:szCs w:val="24"/>
                <w:highlight w:val="none"/>
              </w:rPr>
            </w:pPr>
            <w:r>
              <w:rPr>
                <w:rFonts w:hint="eastAsia" w:hAnsi="宋体"/>
                <w:color w:val="auto"/>
                <w:highlight w:val="none"/>
              </w:rPr>
              <w:t>付款</w:t>
            </w:r>
          </w:p>
        </w:tc>
        <w:tc>
          <w:tcPr>
            <w:tcW w:w="5736" w:type="dxa"/>
            <w:vAlign w:val="center"/>
          </w:tcPr>
          <w:p w14:paraId="409ED598">
            <w:pPr>
              <w:snapToGrid w:val="0"/>
              <w:spacing w:line="240" w:lineRule="auto"/>
              <w:rPr>
                <w:rFonts w:ascii="宋体"/>
                <w:color w:val="auto"/>
                <w:sz w:val="24"/>
                <w:highlight w:val="none"/>
              </w:rPr>
            </w:pPr>
            <w:r>
              <w:rPr>
                <w:rFonts w:hint="eastAsia" w:ascii="宋体" w:hAnsi="宋体"/>
                <w:color w:val="auto"/>
                <w:sz w:val="24"/>
                <w:highlight w:val="none"/>
              </w:rPr>
              <w:t>符合第三章“投标人须知”第</w:t>
            </w:r>
            <w:r>
              <w:rPr>
                <w:rFonts w:ascii="宋体" w:hAnsi="宋体"/>
                <w:color w:val="auto"/>
                <w:sz w:val="24"/>
                <w:highlight w:val="none"/>
              </w:rPr>
              <w:t>9</w:t>
            </w:r>
            <w:r>
              <w:rPr>
                <w:rFonts w:hint="eastAsia" w:ascii="宋体" w:hAnsi="宋体"/>
                <w:color w:val="auto"/>
                <w:sz w:val="24"/>
                <w:highlight w:val="none"/>
              </w:rPr>
              <w:t>条规定</w:t>
            </w:r>
          </w:p>
        </w:tc>
      </w:tr>
      <w:tr w14:paraId="1033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0161D884">
            <w:pPr>
              <w:pStyle w:val="47"/>
              <w:spacing w:line="360" w:lineRule="auto"/>
              <w:jc w:val="center"/>
              <w:rPr>
                <w:rFonts w:hAnsi="宋体"/>
                <w:color w:val="auto"/>
                <w:szCs w:val="24"/>
                <w:highlight w:val="none"/>
              </w:rPr>
            </w:pPr>
          </w:p>
        </w:tc>
        <w:tc>
          <w:tcPr>
            <w:tcW w:w="560" w:type="dxa"/>
            <w:vMerge w:val="continue"/>
            <w:vAlign w:val="center"/>
          </w:tcPr>
          <w:p w14:paraId="09E3A923">
            <w:pPr>
              <w:pStyle w:val="47"/>
              <w:spacing w:line="360" w:lineRule="auto"/>
              <w:jc w:val="center"/>
              <w:rPr>
                <w:rFonts w:hAnsi="宋体"/>
                <w:color w:val="auto"/>
                <w:szCs w:val="24"/>
                <w:highlight w:val="none"/>
              </w:rPr>
            </w:pPr>
          </w:p>
        </w:tc>
        <w:tc>
          <w:tcPr>
            <w:tcW w:w="960" w:type="dxa"/>
            <w:vMerge w:val="continue"/>
            <w:vAlign w:val="center"/>
          </w:tcPr>
          <w:p w14:paraId="420DAB04">
            <w:pPr>
              <w:pStyle w:val="47"/>
              <w:adjustRightInd/>
              <w:snapToGrid w:val="0"/>
              <w:jc w:val="center"/>
              <w:rPr>
                <w:rFonts w:hAnsi="宋体"/>
                <w:color w:val="auto"/>
                <w:szCs w:val="24"/>
                <w:highlight w:val="none"/>
              </w:rPr>
            </w:pPr>
          </w:p>
        </w:tc>
        <w:tc>
          <w:tcPr>
            <w:tcW w:w="2217" w:type="dxa"/>
            <w:vAlign w:val="center"/>
          </w:tcPr>
          <w:p w14:paraId="1934B89B">
            <w:pPr>
              <w:pStyle w:val="47"/>
              <w:adjustRightInd/>
              <w:snapToGrid w:val="0"/>
              <w:jc w:val="center"/>
              <w:rPr>
                <w:rFonts w:hAnsi="宋体"/>
                <w:color w:val="auto"/>
                <w:highlight w:val="none"/>
              </w:rPr>
            </w:pPr>
            <w:r>
              <w:rPr>
                <w:rFonts w:hint="eastAsia" w:hAnsi="宋体"/>
                <w:color w:val="auto"/>
                <w:highlight w:val="none"/>
              </w:rPr>
              <w:t>偏差描述</w:t>
            </w:r>
          </w:p>
        </w:tc>
        <w:tc>
          <w:tcPr>
            <w:tcW w:w="5736" w:type="dxa"/>
            <w:vAlign w:val="center"/>
          </w:tcPr>
          <w:p w14:paraId="059EEBB6">
            <w:pPr>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3.7.3</w:t>
            </w:r>
            <w:r>
              <w:rPr>
                <w:rFonts w:hint="eastAsia" w:ascii="宋体" w:hAnsi="宋体"/>
                <w:color w:val="auto"/>
                <w:sz w:val="24"/>
                <w:highlight w:val="none"/>
              </w:rPr>
              <w:t>项规定</w:t>
            </w:r>
          </w:p>
        </w:tc>
      </w:tr>
      <w:tr w14:paraId="0681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64" w:type="dxa"/>
            <w:vMerge w:val="continue"/>
            <w:vAlign w:val="center"/>
          </w:tcPr>
          <w:p w14:paraId="0A04D209">
            <w:pPr>
              <w:pStyle w:val="47"/>
              <w:spacing w:line="360" w:lineRule="auto"/>
              <w:jc w:val="center"/>
              <w:rPr>
                <w:rFonts w:hAnsi="宋体"/>
                <w:color w:val="auto"/>
                <w:szCs w:val="24"/>
                <w:highlight w:val="none"/>
              </w:rPr>
            </w:pPr>
          </w:p>
        </w:tc>
        <w:tc>
          <w:tcPr>
            <w:tcW w:w="560" w:type="dxa"/>
            <w:vMerge w:val="continue"/>
            <w:vAlign w:val="center"/>
          </w:tcPr>
          <w:p w14:paraId="431F4445">
            <w:pPr>
              <w:pStyle w:val="47"/>
              <w:spacing w:line="360" w:lineRule="auto"/>
              <w:jc w:val="center"/>
              <w:rPr>
                <w:rFonts w:hAnsi="宋体"/>
                <w:color w:val="auto"/>
                <w:szCs w:val="24"/>
                <w:highlight w:val="none"/>
              </w:rPr>
            </w:pPr>
          </w:p>
        </w:tc>
        <w:tc>
          <w:tcPr>
            <w:tcW w:w="960" w:type="dxa"/>
            <w:vMerge w:val="continue"/>
            <w:vAlign w:val="center"/>
          </w:tcPr>
          <w:p w14:paraId="7F98C19F">
            <w:pPr>
              <w:snapToGrid w:val="0"/>
              <w:spacing w:line="240" w:lineRule="auto"/>
              <w:jc w:val="center"/>
              <w:rPr>
                <w:rFonts w:ascii="宋体"/>
                <w:color w:val="auto"/>
                <w:sz w:val="24"/>
                <w:highlight w:val="none"/>
              </w:rPr>
            </w:pPr>
          </w:p>
        </w:tc>
        <w:tc>
          <w:tcPr>
            <w:tcW w:w="2217" w:type="dxa"/>
            <w:vAlign w:val="center"/>
          </w:tcPr>
          <w:p w14:paraId="1D6DF4C3">
            <w:pPr>
              <w:snapToGrid w:val="0"/>
              <w:spacing w:line="240" w:lineRule="auto"/>
              <w:jc w:val="center"/>
              <w:rPr>
                <w:rFonts w:ascii="宋体"/>
                <w:color w:val="auto"/>
                <w:sz w:val="24"/>
                <w:highlight w:val="none"/>
              </w:rPr>
            </w:pPr>
            <w:r>
              <w:rPr>
                <w:rFonts w:hint="eastAsia" w:ascii="宋体" w:hAnsi="宋体"/>
                <w:color w:val="auto"/>
                <w:sz w:val="24"/>
                <w:highlight w:val="none"/>
              </w:rPr>
              <w:t>谈判文件总体响应</w:t>
            </w:r>
          </w:p>
        </w:tc>
        <w:tc>
          <w:tcPr>
            <w:tcW w:w="5736" w:type="dxa"/>
            <w:vAlign w:val="center"/>
          </w:tcPr>
          <w:p w14:paraId="7F9F40F0">
            <w:pPr>
              <w:autoSpaceDE w:val="0"/>
              <w:autoSpaceDN w:val="0"/>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1.3</w:t>
            </w:r>
            <w:r>
              <w:rPr>
                <w:rFonts w:hint="eastAsia" w:ascii="宋体" w:hAnsi="宋体"/>
                <w:color w:val="auto"/>
                <w:sz w:val="24"/>
                <w:highlight w:val="none"/>
              </w:rPr>
              <w:t>项规定</w:t>
            </w:r>
          </w:p>
        </w:tc>
      </w:tr>
      <w:tr w14:paraId="1923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64" w:type="dxa"/>
            <w:vMerge w:val="restart"/>
            <w:vAlign w:val="center"/>
          </w:tcPr>
          <w:p w14:paraId="338B1641">
            <w:pPr>
              <w:pStyle w:val="47"/>
              <w:spacing w:line="360" w:lineRule="auto"/>
              <w:ind w:right="-155" w:rightChars="-74"/>
              <w:jc w:val="center"/>
              <w:rPr>
                <w:rFonts w:hAnsi="宋体"/>
                <w:color w:val="auto"/>
                <w:szCs w:val="24"/>
                <w:highlight w:val="none"/>
              </w:rPr>
            </w:pPr>
            <w:r>
              <w:rPr>
                <w:rFonts w:hAnsi="宋体"/>
                <w:color w:val="auto"/>
                <w:szCs w:val="24"/>
                <w:highlight w:val="none"/>
              </w:rPr>
              <w:t>2.2</w:t>
            </w:r>
          </w:p>
        </w:tc>
        <w:tc>
          <w:tcPr>
            <w:tcW w:w="560" w:type="dxa"/>
            <w:vMerge w:val="restart"/>
            <w:vAlign w:val="center"/>
          </w:tcPr>
          <w:p w14:paraId="5D5143D8">
            <w:pPr>
              <w:pStyle w:val="47"/>
              <w:jc w:val="center"/>
              <w:rPr>
                <w:rFonts w:hAnsi="宋体"/>
                <w:color w:val="auto"/>
                <w:szCs w:val="24"/>
                <w:highlight w:val="none"/>
              </w:rPr>
            </w:pPr>
            <w:r>
              <w:rPr>
                <w:rFonts w:hint="eastAsia" w:hAnsi="宋体"/>
                <w:color w:val="auto"/>
                <w:szCs w:val="24"/>
                <w:highlight w:val="none"/>
              </w:rPr>
              <w:t>详细评审</w:t>
            </w:r>
          </w:p>
        </w:tc>
        <w:tc>
          <w:tcPr>
            <w:tcW w:w="3177" w:type="dxa"/>
            <w:gridSpan w:val="2"/>
            <w:vAlign w:val="center"/>
          </w:tcPr>
          <w:p w14:paraId="43B452F3">
            <w:pPr>
              <w:snapToGrid w:val="0"/>
              <w:spacing w:line="240" w:lineRule="auto"/>
              <w:jc w:val="center"/>
              <w:rPr>
                <w:rFonts w:ascii="宋体"/>
                <w:color w:val="auto"/>
                <w:sz w:val="24"/>
                <w:highlight w:val="none"/>
              </w:rPr>
            </w:pPr>
            <w:r>
              <w:rPr>
                <w:rFonts w:hint="eastAsia" w:ascii="宋体"/>
                <w:color w:val="auto"/>
                <w:sz w:val="24"/>
                <w:highlight w:val="none"/>
              </w:rPr>
              <w:t>中小企业扶持政策</w:t>
            </w:r>
          </w:p>
        </w:tc>
        <w:tc>
          <w:tcPr>
            <w:tcW w:w="5736" w:type="dxa"/>
            <w:vAlign w:val="center"/>
          </w:tcPr>
          <w:p w14:paraId="2601AC41">
            <w:pPr>
              <w:autoSpaceDE w:val="0"/>
              <w:autoSpaceDN w:val="0"/>
              <w:snapToGrid w:val="0"/>
              <w:spacing w:line="240" w:lineRule="auto"/>
              <w:rPr>
                <w:rFonts w:ascii="宋体" w:hAnsi="宋体"/>
                <w:color w:val="auto"/>
                <w:sz w:val="24"/>
                <w:highlight w:val="none"/>
              </w:rPr>
            </w:pPr>
            <w:r>
              <w:rPr>
                <w:rFonts w:hint="eastAsia" w:ascii="宋体"/>
                <w:color w:val="auto"/>
                <w:sz w:val="24"/>
                <w:highlight w:val="none"/>
              </w:rPr>
              <w:t>符合</w:t>
            </w:r>
            <w:r>
              <w:rPr>
                <w:rFonts w:hint="eastAsia" w:ascii="宋体" w:hAnsi="宋体"/>
                <w:color w:val="auto"/>
                <w:sz w:val="24"/>
                <w:highlight w:val="none"/>
              </w:rPr>
              <w:t>第四章</w:t>
            </w:r>
            <w:r>
              <w:rPr>
                <w:rFonts w:hint="eastAsia" w:ascii="宋体"/>
                <w:color w:val="auto"/>
                <w:sz w:val="24"/>
                <w:highlight w:val="none"/>
              </w:rPr>
              <w:t>“评审办法”第</w:t>
            </w:r>
            <w:r>
              <w:rPr>
                <w:rFonts w:hint="eastAsia" w:ascii="宋体" w:hAnsi="宋体"/>
                <w:color w:val="auto"/>
                <w:sz w:val="24"/>
                <w:highlight w:val="none"/>
              </w:rPr>
              <w:t>4条“政府采购促进中小企业发展扶持政策”规定</w:t>
            </w:r>
          </w:p>
          <w:p w14:paraId="4E7AD075">
            <w:pPr>
              <w:autoSpaceDE w:val="0"/>
              <w:autoSpaceDN w:val="0"/>
              <w:snapToGrid w:val="0"/>
              <w:spacing w:line="240" w:lineRule="auto"/>
              <w:rPr>
                <w:rFonts w:ascii="宋体"/>
                <w:color w:val="auto"/>
                <w:sz w:val="24"/>
                <w:highlight w:val="none"/>
              </w:rPr>
            </w:pPr>
            <w:r>
              <w:rPr>
                <w:rFonts w:hint="eastAsia" w:ascii="宋体" w:hAnsi="宋体"/>
                <w:color w:val="auto"/>
                <w:sz w:val="24"/>
                <w:highlight w:val="none"/>
              </w:rPr>
              <w:t>注：</w:t>
            </w:r>
            <w:r>
              <w:rPr>
                <w:rFonts w:hint="eastAsia"/>
                <w:color w:val="auto"/>
                <w:sz w:val="24"/>
                <w:szCs w:val="24"/>
                <w:highlight w:val="none"/>
              </w:rPr>
              <w:t>本次政府采购项目专门面向中小企业，专门面向中小企业的采购项目无价格扣除。</w:t>
            </w:r>
          </w:p>
        </w:tc>
      </w:tr>
      <w:tr w14:paraId="0D21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64" w:type="dxa"/>
            <w:vMerge w:val="continue"/>
            <w:vAlign w:val="center"/>
          </w:tcPr>
          <w:p w14:paraId="0298D54B">
            <w:pPr>
              <w:pStyle w:val="47"/>
              <w:spacing w:line="360" w:lineRule="auto"/>
              <w:ind w:right="-155" w:rightChars="-74"/>
              <w:jc w:val="center"/>
              <w:rPr>
                <w:rFonts w:hAnsi="宋体"/>
                <w:color w:val="auto"/>
                <w:szCs w:val="24"/>
                <w:highlight w:val="none"/>
              </w:rPr>
            </w:pPr>
          </w:p>
        </w:tc>
        <w:tc>
          <w:tcPr>
            <w:tcW w:w="560" w:type="dxa"/>
            <w:vMerge w:val="continue"/>
            <w:vAlign w:val="center"/>
          </w:tcPr>
          <w:p w14:paraId="6BB60FCE">
            <w:pPr>
              <w:pStyle w:val="47"/>
              <w:jc w:val="center"/>
              <w:rPr>
                <w:rFonts w:hAnsi="宋体"/>
                <w:color w:val="auto"/>
                <w:szCs w:val="24"/>
                <w:highlight w:val="none"/>
              </w:rPr>
            </w:pPr>
          </w:p>
        </w:tc>
        <w:tc>
          <w:tcPr>
            <w:tcW w:w="3177" w:type="dxa"/>
            <w:gridSpan w:val="2"/>
            <w:vAlign w:val="center"/>
          </w:tcPr>
          <w:p w14:paraId="21E60526">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政府采购异常低价审查</w:t>
            </w:r>
          </w:p>
        </w:tc>
        <w:tc>
          <w:tcPr>
            <w:tcW w:w="5736" w:type="dxa"/>
            <w:vAlign w:val="center"/>
          </w:tcPr>
          <w:p w14:paraId="43CB7B2C">
            <w:pPr>
              <w:autoSpaceDE w:val="0"/>
              <w:autoSpaceDN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按照第四章“评审办法”第5条规定</w:t>
            </w:r>
          </w:p>
        </w:tc>
      </w:tr>
    </w:tbl>
    <w:p w14:paraId="38CED3FE">
      <w:pPr>
        <w:spacing w:line="240" w:lineRule="auto"/>
        <w:jc w:val="left"/>
        <w:textAlignment w:val="auto"/>
        <w:rPr>
          <w:rFonts w:ascii="黑体" w:hAnsi="黑体" w:eastAsia="黑体" w:cs="楷体_GB2312"/>
          <w:b/>
          <w:bCs/>
          <w:color w:val="auto"/>
          <w:sz w:val="28"/>
          <w:szCs w:val="28"/>
          <w:highlight w:val="none"/>
          <w:lang w:val="zh-CN"/>
        </w:rPr>
      </w:pPr>
      <w:r>
        <w:rPr>
          <w:rFonts w:ascii="黑体" w:hAnsi="黑体" w:eastAsia="黑体" w:cs="楷体_GB2312"/>
          <w:b/>
          <w:bCs/>
          <w:color w:val="auto"/>
          <w:sz w:val="28"/>
          <w:szCs w:val="28"/>
          <w:highlight w:val="none"/>
          <w:lang w:val="zh-CN"/>
        </w:rPr>
        <w:br w:type="page"/>
      </w:r>
    </w:p>
    <w:p w14:paraId="7F607965">
      <w:pPr>
        <w:autoSpaceDE w:val="0"/>
        <w:autoSpaceDN w:val="0"/>
        <w:adjustRightInd w:val="0"/>
        <w:snapToGrid w:val="0"/>
        <w:spacing w:before="156" w:beforeLines="50" w:line="300" w:lineRule="auto"/>
        <w:ind w:firstLine="562" w:firstLineChars="200"/>
        <w:jc w:val="left"/>
        <w:outlineLvl w:val="1"/>
        <w:rPr>
          <w:rFonts w:ascii="黑体" w:hAnsi="黑体" w:eastAsia="黑体" w:cs="楷体_GB2312"/>
          <w:b/>
          <w:bCs/>
          <w:color w:val="auto"/>
          <w:sz w:val="28"/>
          <w:szCs w:val="28"/>
          <w:highlight w:val="none"/>
          <w:lang w:val="zh-CN"/>
        </w:rPr>
      </w:pPr>
      <w:bookmarkStart w:id="39" w:name="_Toc206599135"/>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评审方法（评定成交的标准）</w:t>
      </w:r>
      <w:bookmarkEnd w:id="39"/>
    </w:p>
    <w:p w14:paraId="41A78398">
      <w:pPr>
        <w:autoSpaceDE w:val="0"/>
        <w:autoSpaceDN w:val="0"/>
        <w:adjustRightInd w:val="0"/>
        <w:snapToGrid w:val="0"/>
        <w:spacing w:before="156" w:beforeLines="50" w:line="300" w:lineRule="auto"/>
        <w:ind w:firstLine="619" w:firstLineChars="257"/>
        <w:jc w:val="left"/>
        <w:rPr>
          <w:rFonts w:ascii="宋体"/>
          <w:b/>
          <w:color w:val="auto"/>
          <w:sz w:val="24"/>
          <w:highlight w:val="none"/>
        </w:rPr>
      </w:pPr>
      <w:bookmarkStart w:id="40" w:name="OLE_LINK33"/>
      <w:r>
        <w:rPr>
          <w:rFonts w:hint="eastAsia"/>
          <w:b/>
          <w:color w:val="auto"/>
          <w:sz w:val="24"/>
          <w:szCs w:val="24"/>
          <w:highlight w:val="none"/>
        </w:rPr>
        <w:t>本次政府采购项目（标段&lt;包&gt;）按照最低评标价法确定成交供应商，即在符合采购需求、提供的产品质量和服务均能满足采购文件规定的实质性要求且最后报价最低的原则确定各标段（包）成交供应商。</w:t>
      </w:r>
      <w:bookmarkEnd w:id="40"/>
    </w:p>
    <w:p w14:paraId="725A1BBA">
      <w:pPr>
        <w:pStyle w:val="47"/>
        <w:snapToGrid w:val="0"/>
        <w:spacing w:before="156"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bookmarkStart w:id="41" w:name="_Toc423723403"/>
    </w:p>
    <w:p w14:paraId="7EB14F85">
      <w:pPr>
        <w:pStyle w:val="47"/>
        <w:snapToGrid w:val="0"/>
        <w:spacing w:before="156"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bookmarkStart w:id="42" w:name="_Toc206599136"/>
      <w:r>
        <w:rPr>
          <w:rFonts w:ascii="黑体" w:hAnsi="黑体" w:eastAsia="黑体" w:cs="楷体_GB2312"/>
          <w:b/>
          <w:bCs/>
          <w:color w:val="auto"/>
          <w:sz w:val="28"/>
          <w:szCs w:val="28"/>
          <w:highlight w:val="none"/>
          <w:u w:color="000000"/>
          <w:lang w:val="zh-CN"/>
        </w:rPr>
        <w:t xml:space="preserve">2. </w:t>
      </w:r>
      <w:r>
        <w:rPr>
          <w:rFonts w:hint="eastAsia" w:ascii="黑体" w:hAnsi="黑体" w:eastAsia="黑体" w:cs="楷体_GB2312"/>
          <w:b/>
          <w:bCs/>
          <w:color w:val="auto"/>
          <w:sz w:val="28"/>
          <w:szCs w:val="28"/>
          <w:highlight w:val="none"/>
          <w:u w:color="000000"/>
          <w:lang w:val="zh-CN"/>
        </w:rPr>
        <w:t>评审标准</w:t>
      </w:r>
      <w:bookmarkEnd w:id="41"/>
      <w:bookmarkEnd w:id="42"/>
    </w:p>
    <w:p w14:paraId="38B0C6E8">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2.1 </w:t>
      </w:r>
      <w:r>
        <w:rPr>
          <w:rFonts w:hint="eastAsia" w:ascii="黑体" w:hAnsi="黑体" w:eastAsia="黑体"/>
          <w:b/>
          <w:color w:val="auto"/>
          <w:sz w:val="24"/>
          <w:highlight w:val="none"/>
        </w:rPr>
        <w:t>初步评审标准</w:t>
      </w:r>
    </w:p>
    <w:p w14:paraId="729A5995">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资格性审查标准：见评审办法前附表。</w:t>
      </w:r>
    </w:p>
    <w:p w14:paraId="545AE9E9">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2.1.2 </w:t>
      </w:r>
      <w:r>
        <w:rPr>
          <w:rFonts w:hint="eastAsia" w:ascii="宋体" w:hAnsi="宋体"/>
          <w:color w:val="auto"/>
          <w:sz w:val="24"/>
          <w:highlight w:val="none"/>
        </w:rPr>
        <w:t>符合性审查标准：见评审办法前附表。</w:t>
      </w:r>
    </w:p>
    <w:p w14:paraId="012CCB57">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2.2 </w:t>
      </w:r>
      <w:r>
        <w:rPr>
          <w:rFonts w:hint="eastAsia" w:ascii="黑体" w:hAnsi="黑体" w:eastAsia="黑体"/>
          <w:b/>
          <w:color w:val="auto"/>
          <w:sz w:val="24"/>
          <w:highlight w:val="none"/>
        </w:rPr>
        <w:t>详细评审标准</w:t>
      </w:r>
      <w:r>
        <w:rPr>
          <w:rFonts w:hint="eastAsia" w:ascii="宋体" w:hAnsi="宋体"/>
          <w:color w:val="auto"/>
          <w:sz w:val="24"/>
          <w:highlight w:val="none"/>
        </w:rPr>
        <w:t>：见评审办法前附表</w:t>
      </w:r>
    </w:p>
    <w:p w14:paraId="7737E3C8">
      <w:pPr>
        <w:autoSpaceDE w:val="0"/>
        <w:autoSpaceDN w:val="0"/>
        <w:adjustRightInd w:val="0"/>
        <w:snapToGrid w:val="0"/>
        <w:spacing w:before="156" w:beforeLines="50" w:line="300" w:lineRule="auto"/>
        <w:ind w:left="540" w:leftChars="257"/>
        <w:jc w:val="left"/>
        <w:rPr>
          <w:rFonts w:ascii="宋体"/>
          <w:color w:val="auto"/>
          <w:sz w:val="24"/>
          <w:highlight w:val="none"/>
        </w:rPr>
      </w:pPr>
    </w:p>
    <w:p w14:paraId="4E079A3C">
      <w:pPr>
        <w:pStyle w:val="47"/>
        <w:snapToGrid w:val="0"/>
        <w:spacing w:before="156" w:beforeLines="50" w:line="300" w:lineRule="auto"/>
        <w:ind w:firstLine="562" w:firstLineChars="200"/>
        <w:jc w:val="both"/>
        <w:outlineLvl w:val="1"/>
        <w:rPr>
          <w:rFonts w:ascii="黑体" w:hAnsi="黑体" w:eastAsia="黑体" w:cs="楷体_GB2312"/>
          <w:b/>
          <w:bCs/>
          <w:color w:val="auto"/>
          <w:sz w:val="28"/>
          <w:szCs w:val="28"/>
          <w:highlight w:val="none"/>
          <w:u w:color="000000"/>
          <w:lang w:val="zh-CN"/>
        </w:rPr>
      </w:pPr>
      <w:bookmarkStart w:id="43" w:name="_Toc206599137"/>
      <w:bookmarkStart w:id="44" w:name="_Toc423723405"/>
      <w:r>
        <w:rPr>
          <w:rFonts w:ascii="黑体" w:hAnsi="黑体" w:eastAsia="黑体" w:cs="楷体_GB2312"/>
          <w:b/>
          <w:bCs/>
          <w:color w:val="auto"/>
          <w:sz w:val="28"/>
          <w:szCs w:val="28"/>
          <w:highlight w:val="none"/>
          <w:u w:color="000000"/>
          <w:lang w:val="zh-CN"/>
        </w:rPr>
        <w:t xml:space="preserve">3. </w:t>
      </w:r>
      <w:r>
        <w:rPr>
          <w:rFonts w:hint="eastAsia" w:ascii="黑体" w:hAnsi="黑体" w:eastAsia="黑体" w:cs="楷体_GB2312"/>
          <w:b/>
          <w:bCs/>
          <w:color w:val="auto"/>
          <w:sz w:val="28"/>
          <w:szCs w:val="28"/>
          <w:highlight w:val="none"/>
          <w:u w:color="000000"/>
          <w:lang w:val="zh-CN"/>
        </w:rPr>
        <w:t>评审程序</w:t>
      </w:r>
      <w:bookmarkEnd w:id="43"/>
      <w:bookmarkEnd w:id="44"/>
    </w:p>
    <w:p w14:paraId="531490DC">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谈判小组按标段（包）进行评审</w:t>
      </w:r>
    </w:p>
    <w:p w14:paraId="15B6C545">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3.1 </w:t>
      </w:r>
      <w:r>
        <w:rPr>
          <w:rFonts w:hint="eastAsia" w:ascii="黑体" w:hAnsi="黑体" w:eastAsia="黑体"/>
          <w:b/>
          <w:color w:val="auto"/>
          <w:sz w:val="24"/>
          <w:highlight w:val="none"/>
        </w:rPr>
        <w:t>确认谈判文件</w:t>
      </w:r>
    </w:p>
    <w:p w14:paraId="5E14B4F1">
      <w:pPr>
        <w:pStyle w:val="47"/>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3.1.1 </w:t>
      </w:r>
      <w:r>
        <w:rPr>
          <w:rFonts w:hint="eastAsia" w:hAnsi="宋体"/>
          <w:color w:val="auto"/>
          <w:highlight w:val="none"/>
        </w:rPr>
        <w:t>谈判小组确认谈判文件，谈判文件内容违反国家有关强制性规定的，谈判小组应当停止评审并向采购人或者采购代理机构书面说明情况。</w:t>
      </w:r>
    </w:p>
    <w:p w14:paraId="74CC07C8">
      <w:pPr>
        <w:pStyle w:val="47"/>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3.1.2  </w:t>
      </w:r>
      <w:r>
        <w:rPr>
          <w:rFonts w:hint="eastAsia" w:hAnsi="宋体"/>
          <w:color w:val="auto"/>
          <w:highlight w:val="none"/>
        </w:rPr>
        <w:t>谈判小组</w:t>
      </w:r>
      <w:r>
        <w:rPr>
          <w:rFonts w:hint="eastAsia" w:ascii="??" w:hAnsi="??" w:cs="宋体"/>
          <w:color w:val="auto"/>
          <w:szCs w:val="21"/>
          <w:highlight w:val="none"/>
        </w:rPr>
        <w:t>要求解释</w:t>
      </w:r>
      <w:r>
        <w:rPr>
          <w:rFonts w:hint="eastAsia" w:hAnsi="宋体"/>
          <w:color w:val="auto"/>
          <w:highlight w:val="none"/>
        </w:rPr>
        <w:t>谈判文件的，书面提出需解释的相关谈判文件的具体内容后、由采购代理机构或者采购人进行书面解释。</w:t>
      </w:r>
    </w:p>
    <w:p w14:paraId="304B79C2">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bookmarkStart w:id="45" w:name="_Toc423723406"/>
      <w:r>
        <w:rPr>
          <w:rFonts w:ascii="黑体" w:hAnsi="黑体" w:eastAsia="黑体"/>
          <w:b/>
          <w:color w:val="auto"/>
          <w:sz w:val="24"/>
          <w:highlight w:val="none"/>
        </w:rPr>
        <w:t>3.2</w:t>
      </w:r>
      <w:bookmarkEnd w:id="45"/>
      <w:r>
        <w:rPr>
          <w:rFonts w:hint="eastAsia" w:ascii="黑体" w:hAnsi="黑体" w:eastAsia="黑体"/>
          <w:b/>
          <w:color w:val="auto"/>
          <w:sz w:val="24"/>
          <w:highlight w:val="none"/>
        </w:rPr>
        <w:t>初步评审</w:t>
      </w:r>
    </w:p>
    <w:p w14:paraId="714E3017">
      <w:pPr>
        <w:autoSpaceDE w:val="0"/>
        <w:autoSpaceDN w:val="0"/>
        <w:adjustRightInd w:val="0"/>
        <w:snapToGrid w:val="0"/>
        <w:spacing w:before="156" w:beforeLines="50" w:line="300" w:lineRule="auto"/>
        <w:ind w:firstLine="616" w:firstLineChars="257"/>
        <w:jc w:val="left"/>
        <w:rPr>
          <w:rFonts w:ascii="宋体"/>
          <w:color w:val="auto"/>
          <w:sz w:val="24"/>
          <w:highlight w:val="none"/>
        </w:rPr>
      </w:pPr>
      <w:r>
        <w:rPr>
          <w:rFonts w:ascii="宋体" w:hAnsi="宋体"/>
          <w:color w:val="auto"/>
          <w:sz w:val="24"/>
          <w:highlight w:val="none"/>
        </w:rPr>
        <w:t>3.2.1</w:t>
      </w:r>
      <w:r>
        <w:rPr>
          <w:rFonts w:hint="eastAsia" w:ascii="宋体" w:hAnsi="宋体"/>
          <w:color w:val="auto"/>
          <w:sz w:val="24"/>
          <w:highlight w:val="none"/>
        </w:rPr>
        <w:t>谈判小组依据本章第2.</w:t>
      </w:r>
      <w:r>
        <w:rPr>
          <w:rFonts w:ascii="宋体" w:hAnsi="宋体"/>
          <w:color w:val="auto"/>
          <w:sz w:val="24"/>
          <w:highlight w:val="none"/>
        </w:rPr>
        <w:t>1.1</w:t>
      </w:r>
      <w:r>
        <w:rPr>
          <w:rFonts w:hint="eastAsia" w:ascii="宋体" w:hAnsi="宋体"/>
          <w:color w:val="auto"/>
          <w:sz w:val="24"/>
          <w:highlight w:val="none"/>
        </w:rPr>
        <w:t>、2.</w:t>
      </w:r>
      <w:r>
        <w:rPr>
          <w:rFonts w:ascii="宋体" w:hAnsi="宋体"/>
          <w:color w:val="auto"/>
          <w:sz w:val="24"/>
          <w:highlight w:val="none"/>
        </w:rPr>
        <w:t xml:space="preserve">1.2 </w:t>
      </w:r>
      <w:r>
        <w:rPr>
          <w:rFonts w:hint="eastAsia" w:ascii="宋体" w:hAnsi="宋体"/>
          <w:color w:val="auto"/>
          <w:sz w:val="24"/>
          <w:highlight w:val="none"/>
        </w:rPr>
        <w:t>款规定的标准对投标文件进行资格性、符合性评审。有一项不符合评审标准的，作无效投标处理。</w:t>
      </w:r>
    </w:p>
    <w:p w14:paraId="1D03ECFA">
      <w:pPr>
        <w:autoSpaceDE w:val="0"/>
        <w:autoSpaceDN w:val="0"/>
        <w:adjustRightInd w:val="0"/>
        <w:snapToGrid w:val="0"/>
        <w:spacing w:before="156" w:beforeLines="50" w:line="300" w:lineRule="auto"/>
        <w:ind w:firstLine="616" w:firstLineChars="257"/>
        <w:jc w:val="left"/>
        <w:rPr>
          <w:rFonts w:ascii="宋体"/>
          <w:color w:val="auto"/>
          <w:sz w:val="24"/>
          <w:highlight w:val="none"/>
        </w:rPr>
      </w:pPr>
      <w:r>
        <w:rPr>
          <w:rFonts w:ascii="宋体" w:hAnsi="宋体"/>
          <w:color w:val="auto"/>
          <w:sz w:val="24"/>
          <w:highlight w:val="none"/>
        </w:rPr>
        <w:t xml:space="preserve">3.2.2 </w:t>
      </w:r>
      <w:r>
        <w:rPr>
          <w:rFonts w:hint="eastAsia" w:ascii="宋体" w:hAnsi="宋体"/>
          <w:color w:val="auto"/>
          <w:sz w:val="24"/>
          <w:highlight w:val="none"/>
        </w:rPr>
        <w:t>投标人有以下情形之一的，其投标作无效投标处理：</w:t>
      </w:r>
    </w:p>
    <w:p w14:paraId="6DE0D2DA">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）投标人不符合国家或者谈判文件规定的资格条件；</w:t>
      </w:r>
    </w:p>
    <w:p w14:paraId="21A5BFA6">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）投标人没有按照谈判文件要求提供投标承诺函；</w:t>
      </w:r>
    </w:p>
    <w:p w14:paraId="50C1F569">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）投标联合体不符合谈判文件规定；</w:t>
      </w:r>
    </w:p>
    <w:p w14:paraId="3A053205">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）投标文件的签字盖章不符合谈判文件规定；</w:t>
      </w:r>
    </w:p>
    <w:p w14:paraId="3BD01B7D">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）投标报价高于谈判公告公布的预算金额；</w:t>
      </w:r>
    </w:p>
    <w:p w14:paraId="1CE0E206">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）同一投标人提交两个以上不同的投标文件（响应文件）或者投标报价，投标文件（响应文件）的每种报价有两个报价或其他选择性报价的。</w:t>
      </w:r>
    </w:p>
    <w:p w14:paraId="6A020661">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）投标文件（响应文件）没有对谈判文件的实质性要求和条件作出实质性响应，或不符合谈判文件的实质性要求和条件；</w:t>
      </w:r>
    </w:p>
    <w:p w14:paraId="4CA7D477">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）投标文件（响应文件）附有采购项目不能接受的条件或不符合国家强制性规定的；</w:t>
      </w:r>
    </w:p>
    <w:p w14:paraId="6E59A297">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）单位负责人为同一人或者存在控股、管理关系的不同单位，参加同一项目（标段</w:t>
      </w:r>
      <w:r>
        <w:rPr>
          <w:rFonts w:hint="eastAsia" w:ascii="宋体" w:hAnsi="宋体" w:cs="楷体_GB2312"/>
          <w:color w:val="auto"/>
          <w:sz w:val="24"/>
          <w:highlight w:val="none"/>
          <w:lang w:val="zh-CN"/>
        </w:rPr>
        <w:t>&lt;包&gt;</w:t>
      </w:r>
      <w:r>
        <w:rPr>
          <w:rFonts w:hint="eastAsia" w:ascii="宋体" w:hAnsi="宋体"/>
          <w:color w:val="auto"/>
          <w:sz w:val="24"/>
          <w:highlight w:val="none"/>
        </w:rPr>
        <w:t>）投标的；</w:t>
      </w:r>
    </w:p>
    <w:p w14:paraId="5577F15B">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）为采购项目提供整体设计、规范编制或者项目管理、监理、检测等服务的供应商，不得再参加该采购项目的其他采购活动。</w:t>
      </w:r>
    </w:p>
    <w:p w14:paraId="1BE932F0">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（11）组成联合体或者接受分包的小微企业与联合体内其他企业、分包企业之间存在直接控股、管理关系的。</w:t>
      </w:r>
    </w:p>
    <w:p w14:paraId="0FA05E6E">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2）提供虚假材料谋取中标（成交）的；</w:t>
      </w:r>
    </w:p>
    <w:p w14:paraId="3CF1E4AE">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3）投标人有串通投标、行贿等违法行为。其中，有下列情形之一的，视为投标人相互串通投标：</w:t>
      </w:r>
    </w:p>
    <w:p w14:paraId="1DFECFE6">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◆不同投标人的投标文件由同一单位或者个人编制；</w:t>
      </w:r>
    </w:p>
    <w:p w14:paraId="1E5B4AD7">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◆不同投标人委托同一单位或者个人办理投标事宜；</w:t>
      </w:r>
    </w:p>
    <w:p w14:paraId="4D197900">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◆不同投标人的投标文件载明的项目管理成员为同一人；</w:t>
      </w:r>
    </w:p>
    <w:p w14:paraId="1030A995">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◆不同投标人的投标文件异常一致或者投标报价呈规律性差异；</w:t>
      </w:r>
    </w:p>
    <w:p w14:paraId="1E9FDCC4">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◆不同投标人的投标文件相互混装。</w:t>
      </w:r>
    </w:p>
    <w:p w14:paraId="2D3FD4DF">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（14）根据豫财购〔2021〕6号文件，参与同一个标段(包)的供应商存在下列情形之一的，其投标(响应)文件无效:</w:t>
      </w:r>
    </w:p>
    <w:p w14:paraId="6408B3D0">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◆不同供应商的电子投标(响应)文件上传计算机的网卡MAC地址、CPU序列号和硬盘序列号等硬件信息相同的；</w:t>
      </w:r>
    </w:p>
    <w:p w14:paraId="3629CA2A">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◆不同供应商的投标(响应)文件由同一电子设备编制、打印加密或者上传；</w:t>
      </w:r>
    </w:p>
    <w:p w14:paraId="10640730">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◆不同供应商的投标(响应)文件由同一电子设备打印、复印；</w:t>
      </w:r>
    </w:p>
    <w:p w14:paraId="67300090">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◆不同供应商的投标(响应)文件由同一人送达或者分发，或者不同供应商联系人为同一人或不同联系人的联系电话一致的；</w:t>
      </w:r>
    </w:p>
    <w:p w14:paraId="356E2A46">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◆不同供应商的投标(响应)文件的内容存在两处以上细节错误一致；</w:t>
      </w:r>
    </w:p>
    <w:p w14:paraId="246E13E6">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◆不同供应商的法定代表人、委托代理人、项目经理、项目负责人等由同一个单位缴纳社会保险或者领取报酬的；</w:t>
      </w:r>
    </w:p>
    <w:p w14:paraId="35266840">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◆不同供应商投标(响应)文件中法定代表人或者负责人签字出自同一人之手；</w:t>
      </w:r>
    </w:p>
    <w:p w14:paraId="108DB553">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◆其它涉嫌串通的情形。</w:t>
      </w:r>
    </w:p>
    <w:p w14:paraId="4155051A">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(15)不同投标人上传电子投标(响应)文件的IP地址相同，该供应商投标(响应)文件无效。</w:t>
      </w:r>
    </w:p>
    <w:p w14:paraId="71A11C22">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(16)据豫财购〔2021〕6号文件精神，工程领域招标投标行政主管部门对供应商串通投标等予以市场禁入的，在本次政府采购活动中，该供应商投标(响应)文件无效。</w:t>
      </w:r>
    </w:p>
    <w:p w14:paraId="407A6EDB">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3.2.3</w:t>
      </w:r>
      <w:r>
        <w:rPr>
          <w:rFonts w:hint="eastAsia" w:ascii="宋体" w:hAnsi="宋体"/>
          <w:color w:val="auto"/>
          <w:sz w:val="24"/>
          <w:highlight w:val="none"/>
        </w:rPr>
        <w:t xml:space="preserve"> </w:t>
      </w:r>
      <w:r>
        <w:rPr>
          <w:rFonts w:hint="eastAsia" w:ascii="宋体" w:hAnsi="宋体"/>
          <w:b/>
          <w:color w:val="auto"/>
          <w:sz w:val="24"/>
          <w:highlight w:val="none"/>
        </w:rPr>
        <w:t>未实质性响应谈判文件的响应文件按无效处理，谈判小组应当告知有关供应商。</w:t>
      </w:r>
    </w:p>
    <w:p w14:paraId="14D994DC">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3.2</w:t>
      </w:r>
      <w:r>
        <w:rPr>
          <w:rFonts w:asci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开标一览表（报价一览表）与报价明细表有差别时，以开标一览表（报价一览表）为准；大写文字表示的数据与小写数字表示的有差别时，以大写文字表示的数据为准；单价与开标一览表（报价一览表）总价不符时，以开标一览表（报价一览表）总价为准。如投标人拒绝接受上述意见，其</w:t>
      </w:r>
      <w:r>
        <w:rPr>
          <w:rFonts w:hint="eastAsia" w:ascii="宋体" w:hAnsi="宋体"/>
          <w:b/>
          <w:color w:val="auto"/>
          <w:sz w:val="24"/>
          <w:highlight w:val="none"/>
        </w:rPr>
        <w:t>投标将被拒绝。</w:t>
      </w:r>
    </w:p>
    <w:p w14:paraId="1C7C0471">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3.2.5 </w:t>
      </w:r>
      <w:r>
        <w:rPr>
          <w:rFonts w:hint="eastAsia" w:ascii="宋体" w:hAnsi="宋体"/>
          <w:color w:val="auto"/>
          <w:sz w:val="24"/>
          <w:highlight w:val="none"/>
        </w:rPr>
        <w:t>谈判小组负责审查确定每一投标项目是否对谈判文件的实质性要求作出了实质性的响应，而没有重大偏离和保留。实质性响应的投标是指投标符合谈判文件的所有条款、条件和规定且没有重大偏离和保留（重大偏离和保留是指影响到谈判文件和投标人的义务的规定，而纠正这些偏离将影响到其他提交实质性响应投标人的公平竞争地位）。</w:t>
      </w:r>
    </w:p>
    <w:p w14:paraId="3D0C050D">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3.2.6 </w:t>
      </w:r>
      <w:r>
        <w:rPr>
          <w:rFonts w:hint="eastAsia" w:ascii="宋体" w:hAnsi="宋体"/>
          <w:color w:val="auto"/>
          <w:sz w:val="24"/>
          <w:highlight w:val="none"/>
        </w:rPr>
        <w:t>谈判小组判断投标文件（响应文件）的响应性仅基于投标文件（响应文件）本身而不靠外部证据。</w:t>
      </w:r>
    </w:p>
    <w:p w14:paraId="12A2F782">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3.2.7 </w:t>
      </w:r>
      <w:r>
        <w:rPr>
          <w:rFonts w:hint="eastAsia" w:ascii="宋体" w:hAnsi="宋体"/>
          <w:color w:val="auto"/>
          <w:sz w:val="24"/>
          <w:highlight w:val="none"/>
        </w:rPr>
        <w:t>谈判小组拒绝被确定为非实质性响应的投标人，投标人不得通过修正或撤销不符之处而使其投标成为实质性响应的投标。</w:t>
      </w:r>
    </w:p>
    <w:p w14:paraId="05FBC050">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3.2.8 </w:t>
      </w:r>
      <w:r>
        <w:rPr>
          <w:rFonts w:hint="eastAsia" w:ascii="宋体" w:hAnsi="宋体"/>
          <w:color w:val="auto"/>
          <w:sz w:val="24"/>
          <w:highlight w:val="none"/>
        </w:rPr>
        <w:t>允许投标人修改投标中不构成重大偏离的、微小的、非正规、不一致或不规则的地方。</w:t>
      </w:r>
    </w:p>
    <w:p w14:paraId="05C23D35">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3.3 </w:t>
      </w:r>
      <w:r>
        <w:rPr>
          <w:rFonts w:hint="eastAsia" w:ascii="黑体" w:hAnsi="黑体" w:eastAsia="黑体"/>
          <w:b/>
          <w:color w:val="auto"/>
          <w:sz w:val="24"/>
          <w:highlight w:val="none"/>
        </w:rPr>
        <w:t>详细评审</w:t>
      </w:r>
    </w:p>
    <w:p w14:paraId="54363805">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3.3.1</w:t>
      </w:r>
      <w:r>
        <w:rPr>
          <w:rFonts w:hint="eastAsia" w:ascii="宋体" w:hAnsi="宋体"/>
          <w:color w:val="auto"/>
          <w:sz w:val="24"/>
          <w:highlight w:val="none"/>
        </w:rPr>
        <w:t xml:space="preserve"> 按本章第</w:t>
      </w:r>
      <w:r>
        <w:rPr>
          <w:rFonts w:ascii="宋体" w:hAnsi="宋体"/>
          <w:color w:val="auto"/>
          <w:sz w:val="24"/>
          <w:highlight w:val="none"/>
        </w:rPr>
        <w:t xml:space="preserve">4 </w:t>
      </w:r>
      <w:r>
        <w:rPr>
          <w:rFonts w:hint="eastAsia" w:ascii="宋体" w:hAnsi="宋体"/>
          <w:color w:val="auto"/>
          <w:sz w:val="24"/>
          <w:highlight w:val="none"/>
        </w:rPr>
        <w:t>条规定执行促进中小企业发展扶持政策。</w:t>
      </w:r>
    </w:p>
    <w:p w14:paraId="0BEB3A41">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3.4.</w:t>
      </w:r>
      <w:r>
        <w:rPr>
          <w:rFonts w:hint="eastAsia" w:ascii="黑体" w:hAnsi="黑体" w:eastAsia="黑体"/>
          <w:b/>
          <w:color w:val="auto"/>
          <w:sz w:val="24"/>
          <w:highlight w:val="none"/>
        </w:rPr>
        <w:t>2</w:t>
      </w:r>
      <w:r>
        <w:rPr>
          <w:rFonts w:ascii="黑体" w:hAnsi="黑体" w:eastAsia="黑体"/>
          <w:b/>
          <w:color w:val="auto"/>
          <w:sz w:val="24"/>
          <w:highlight w:val="none"/>
        </w:rPr>
        <w:t xml:space="preserve"> </w:t>
      </w:r>
      <w:r>
        <w:rPr>
          <w:rFonts w:hint="eastAsia" w:ascii="黑体" w:hAnsi="黑体" w:eastAsia="黑体"/>
          <w:b/>
          <w:color w:val="auto"/>
          <w:sz w:val="24"/>
          <w:highlight w:val="none"/>
        </w:rPr>
        <w:t>异常低价审查</w:t>
      </w:r>
    </w:p>
    <w:p w14:paraId="4661AA47">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hint="eastAsia" w:ascii="黑体" w:hAnsi="黑体" w:eastAsia="黑体"/>
          <w:b/>
          <w:color w:val="auto"/>
          <w:sz w:val="24"/>
          <w:highlight w:val="none"/>
        </w:rPr>
        <w:t>按国家“防内卷”精神，据《关于推动解决政府采购异常低价问题的通知》财库〔2026〕2号要求，对政府采购异常低价、按本章第</w:t>
      </w:r>
      <w:r>
        <w:rPr>
          <w:rFonts w:ascii="黑体" w:hAnsi="黑体" w:eastAsia="黑体"/>
          <w:b/>
          <w:color w:val="auto"/>
          <w:sz w:val="24"/>
          <w:highlight w:val="none"/>
        </w:rPr>
        <w:t>6</w:t>
      </w:r>
      <w:r>
        <w:rPr>
          <w:rFonts w:hint="eastAsia" w:ascii="黑体" w:hAnsi="黑体" w:eastAsia="黑体"/>
          <w:b/>
          <w:color w:val="auto"/>
          <w:sz w:val="24"/>
          <w:highlight w:val="none"/>
        </w:rPr>
        <w:t>条规定执行政府采购异常低价审查。</w:t>
      </w:r>
    </w:p>
    <w:p w14:paraId="32AC4C9F">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hint="eastAsia" w:ascii="黑体" w:hAnsi="黑体" w:eastAsia="黑体"/>
          <w:b/>
          <w:color w:val="auto"/>
          <w:sz w:val="24"/>
          <w:highlight w:val="none"/>
        </w:rPr>
        <w:t>其中：投标（响应）报价低于采购项目最高限价45%的，即投标（响应）报价&lt;采购项目最高限价×45%的；应按《关于推动解决政府采购异常低价问题的通知》要求在《投标文件》中提供相应书面说明及相应证明材料，接受谈判小组审查。</w:t>
      </w:r>
    </w:p>
    <w:p w14:paraId="45080F23">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w:t>
      </w:r>
      <w:r>
        <w:rPr>
          <w:rFonts w:hint="eastAsia" w:ascii="宋体" w:hAnsi="宋体"/>
          <w:color w:val="auto"/>
          <w:sz w:val="24"/>
          <w:highlight w:val="none"/>
        </w:rPr>
        <w:t>3 谈判小组认为供应商的报价明显低于其他通过符合性审查投标人的报价，有可能影响产品质量或者不能诚信履约的，应当要求其在合理的时间内提供书面说明，必要时提交相关证明材料；供应商不能证明其报价合理性的，谈判小组应当将其作为无效投标处理。</w:t>
      </w:r>
    </w:p>
    <w:p w14:paraId="2E2189D2">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3.4 </w:t>
      </w:r>
      <w:r>
        <w:rPr>
          <w:rFonts w:hint="eastAsia" w:ascii="黑体" w:hAnsi="黑体" w:eastAsia="黑体"/>
          <w:b/>
          <w:color w:val="auto"/>
          <w:sz w:val="24"/>
          <w:highlight w:val="none"/>
        </w:rPr>
        <w:t>投标文件（响应文件）的澄清</w:t>
      </w:r>
    </w:p>
    <w:p w14:paraId="1D1B729F">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hint="eastAsia" w:ascii="宋体" w:hAnsi="宋体"/>
          <w:b/>
          <w:color w:val="auto"/>
          <w:sz w:val="24"/>
          <w:highlight w:val="none"/>
        </w:rPr>
        <w:t>投标文件（响应文件）的澄清在谈</w:t>
      </w:r>
      <w:r>
        <w:rPr>
          <w:rFonts w:ascii="宋体" w:hAnsi="宋体"/>
          <w:b/>
          <w:color w:val="auto"/>
          <w:sz w:val="24"/>
          <w:highlight w:val="none"/>
        </w:rPr>
        <w:t>判公告所述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185F60BE">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4</w:t>
      </w:r>
      <w:r>
        <w:rPr>
          <w:rFonts w:ascii="宋体" w:hAnsi="宋体"/>
          <w:b/>
          <w:color w:val="auto"/>
          <w:sz w:val="24"/>
          <w:highlight w:val="none"/>
        </w:rPr>
        <w:t>.1</w:t>
      </w:r>
      <w:r>
        <w:rPr>
          <w:rFonts w:hint="eastAsia" w:ascii="宋体" w:hAnsi="宋体"/>
          <w:b/>
          <w:color w:val="auto"/>
          <w:sz w:val="24"/>
          <w:highlight w:val="none"/>
        </w:rPr>
        <w:t xml:space="preserve"> 评审期间，投标人法定代表人须时刻关注电子开标室并保持通讯畅通。如因通讯不畅导致投标人无法及时澄清而被认定为无效响应等后果的</w:t>
      </w:r>
      <w:r>
        <w:rPr>
          <w:rFonts w:ascii="宋体" w:hAnsi="宋体"/>
          <w:b/>
          <w:color w:val="auto"/>
          <w:sz w:val="24"/>
          <w:highlight w:val="none"/>
        </w:rPr>
        <w:t>，</w:t>
      </w:r>
      <w:r>
        <w:rPr>
          <w:rFonts w:hint="eastAsia" w:ascii="宋体" w:hAnsi="宋体"/>
          <w:b/>
          <w:color w:val="auto"/>
          <w:sz w:val="24"/>
          <w:highlight w:val="none"/>
        </w:rPr>
        <w:t>由投标人自行承担。</w:t>
      </w:r>
    </w:p>
    <w:p w14:paraId="7FEF3FAF">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3.4.2</w:t>
      </w:r>
      <w:r>
        <w:rPr>
          <w:rFonts w:hint="eastAsia" w:ascii="宋体" w:hAnsi="宋体"/>
          <w:color w:val="auto"/>
          <w:sz w:val="24"/>
          <w:highlight w:val="none"/>
        </w:rPr>
        <w:t>　为有助于对投标文件（响应文件）进行审查、评估和比较，谈判小组有权个别的向投标人提出质疑，请投标人澄清其投标内容。</w:t>
      </w:r>
    </w:p>
    <w:p w14:paraId="52F04ED6">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3.4.3</w:t>
      </w:r>
      <w:r>
        <w:rPr>
          <w:rFonts w:hint="eastAsia" w:ascii="宋体" w:hAnsi="宋体"/>
          <w:color w:val="auto"/>
          <w:sz w:val="24"/>
          <w:highlight w:val="none"/>
        </w:rPr>
        <w:t>　谈判小组可以要求投标人对投标文件（响应文件）中含义不明确、同类问题表述不一致或者有明显文字和计算错误的内容等作出必要的澄清、说明或者更正。投标人的澄清、说明或者更正不得超出投标文件（响应文件）的范围或者改变投标文件（响应文件）的实质性内容。</w:t>
      </w:r>
    </w:p>
    <w:p w14:paraId="0E768108">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3.4.4</w:t>
      </w:r>
      <w:r>
        <w:rPr>
          <w:rFonts w:hint="eastAsia" w:ascii="宋体" w:hAnsi="宋体"/>
          <w:b/>
          <w:color w:val="auto"/>
          <w:sz w:val="24"/>
          <w:highlight w:val="none"/>
        </w:rPr>
        <w:t>　投标人的澄清、说明或者更正应当采用书面形式，应加</w:t>
      </w:r>
      <w:r>
        <w:rPr>
          <w:rFonts w:ascii="宋体" w:hAnsi="宋体"/>
          <w:b/>
          <w:color w:val="auto"/>
          <w:sz w:val="24"/>
          <w:highlight w:val="none"/>
        </w:rPr>
        <w:t>盖</w:t>
      </w:r>
      <w:r>
        <w:rPr>
          <w:rFonts w:hint="eastAsia" w:ascii="宋体" w:hAnsi="宋体"/>
          <w:b/>
          <w:color w:val="auto"/>
          <w:sz w:val="24"/>
          <w:highlight w:val="none"/>
        </w:rPr>
        <w:t>投</w:t>
      </w:r>
      <w:r>
        <w:rPr>
          <w:rFonts w:ascii="宋体" w:hAnsi="宋体"/>
          <w:b/>
          <w:color w:val="auto"/>
          <w:sz w:val="24"/>
          <w:highlight w:val="none"/>
        </w:rPr>
        <w:t>标人</w:t>
      </w:r>
      <w:r>
        <w:rPr>
          <w:rFonts w:hint="eastAsia" w:ascii="宋体" w:hAnsi="宋体"/>
          <w:b/>
          <w:color w:val="auto"/>
          <w:sz w:val="24"/>
          <w:highlight w:val="none"/>
        </w:rPr>
        <w:t>电子签章或其法定代表人电子签名</w:t>
      </w:r>
      <w:r>
        <w:rPr>
          <w:rFonts w:hint="eastAsia" w:ascii="宋体" w:hAnsi="宋体" w:cs="楷体_GB2312"/>
          <w:b/>
          <w:color w:val="auto"/>
          <w:sz w:val="24"/>
          <w:highlight w:val="none"/>
        </w:rPr>
        <w:t>（签章）</w:t>
      </w:r>
      <w:r>
        <w:rPr>
          <w:rFonts w:hint="eastAsia" w:ascii="宋体" w:hAnsi="宋体"/>
          <w:b/>
          <w:color w:val="auto"/>
          <w:sz w:val="24"/>
          <w:highlight w:val="none"/>
        </w:rPr>
        <w:t>。并将澄清等内容作为附件上传至系统中。</w:t>
      </w:r>
    </w:p>
    <w:p w14:paraId="2E0156BF">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3.4.5</w:t>
      </w:r>
      <w:r>
        <w:rPr>
          <w:rFonts w:hint="eastAsia" w:ascii="宋体" w:hAnsi="宋体"/>
          <w:color w:val="auto"/>
          <w:sz w:val="24"/>
          <w:highlight w:val="none"/>
        </w:rPr>
        <w:t>　投标人的澄清文件是投标文件（响应文件）的组成部分，并取代投标文件（响应文件）中被澄清的部分。</w:t>
      </w:r>
    </w:p>
    <w:p w14:paraId="2C94813F">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3.4.6</w:t>
      </w:r>
      <w:r>
        <w:rPr>
          <w:rFonts w:hint="eastAsia" w:ascii="宋体" w:hAnsi="宋体"/>
          <w:color w:val="auto"/>
          <w:sz w:val="24"/>
          <w:highlight w:val="none"/>
        </w:rPr>
        <w:t>　澄清文件应按谈判小组规定的时间提交。</w:t>
      </w:r>
    </w:p>
    <w:p w14:paraId="03D1F5F8">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3.5 </w:t>
      </w:r>
      <w:r>
        <w:rPr>
          <w:rFonts w:hint="eastAsia" w:ascii="黑体" w:hAnsi="黑体" w:eastAsia="黑体"/>
          <w:b/>
          <w:color w:val="auto"/>
          <w:sz w:val="24"/>
          <w:highlight w:val="none"/>
        </w:rPr>
        <w:t>谈判规则</w:t>
      </w:r>
    </w:p>
    <w:p w14:paraId="2A943FCA">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hint="eastAsia" w:ascii="宋体" w:hAnsi="宋体"/>
          <w:b/>
          <w:color w:val="auto"/>
          <w:sz w:val="24"/>
          <w:highlight w:val="none"/>
        </w:rPr>
        <w:t>评</w:t>
      </w:r>
      <w:r>
        <w:rPr>
          <w:rFonts w:ascii="宋体" w:hAnsi="宋体"/>
          <w:b/>
          <w:color w:val="auto"/>
          <w:sz w:val="24"/>
          <w:highlight w:val="none"/>
        </w:rPr>
        <w:t>审</w:t>
      </w:r>
      <w:r>
        <w:rPr>
          <w:rFonts w:hint="eastAsia" w:ascii="宋体" w:hAnsi="宋体"/>
          <w:b/>
          <w:color w:val="auto"/>
          <w:sz w:val="24"/>
          <w:highlight w:val="none"/>
        </w:rPr>
        <w:t>谈判在谈</w:t>
      </w:r>
      <w:r>
        <w:rPr>
          <w:rFonts w:ascii="宋体" w:hAnsi="宋体"/>
          <w:b/>
          <w:color w:val="auto"/>
          <w:sz w:val="24"/>
          <w:highlight w:val="none"/>
        </w:rPr>
        <w:t>判公告所述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3F75AD0F">
      <w:pPr>
        <w:autoSpaceDE w:val="0"/>
        <w:autoSpaceDN w:val="0"/>
        <w:adjustRightInd w:val="0"/>
        <w:snapToGrid w:val="0"/>
        <w:spacing w:before="156" w:beforeLines="50" w:line="300" w:lineRule="auto"/>
        <w:ind w:firstLine="566" w:firstLineChars="236"/>
        <w:rPr>
          <w:rFonts w:ascii="宋体"/>
          <w:color w:val="auto"/>
          <w:sz w:val="24"/>
          <w:highlight w:val="none"/>
        </w:rPr>
      </w:pPr>
      <w:r>
        <w:rPr>
          <w:rFonts w:ascii="宋体" w:hAnsi="宋体"/>
          <w:color w:val="auto"/>
          <w:sz w:val="24"/>
          <w:highlight w:val="none"/>
        </w:rPr>
        <w:t xml:space="preserve">3.5.1 </w:t>
      </w:r>
      <w:r>
        <w:rPr>
          <w:rFonts w:hint="eastAsia" w:ascii="宋体" w:hAnsi="宋体"/>
          <w:color w:val="auto"/>
          <w:sz w:val="24"/>
          <w:highlight w:val="none"/>
        </w:rPr>
        <w:t>本次政府采购采取竞争性谈判方式。谈判小组将据评审情况就所投货物的技术、服务、价格等事项与有关投标人分别进行谈判。谈判的任何一方不得将与谈判有关的技术资料、价格和其他信息透露给其他供应商。</w:t>
      </w:r>
    </w:p>
    <w:p w14:paraId="21963431">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3.5.2 </w:t>
      </w:r>
      <w:r>
        <w:rPr>
          <w:rFonts w:hint="eastAsia" w:ascii="宋体" w:hAnsi="宋体"/>
          <w:color w:val="auto"/>
          <w:sz w:val="24"/>
          <w:highlight w:val="none"/>
        </w:rPr>
        <w:t>谈判小组根据谈判文件规定的程序、评定成交的标准等事项与实质性响应谈判文件要求的投标人进行谈判。</w:t>
      </w:r>
    </w:p>
    <w:p w14:paraId="779D412B">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3.5.3 </w:t>
      </w:r>
      <w:r>
        <w:rPr>
          <w:rFonts w:hint="eastAsia" w:ascii="宋体" w:hAnsi="宋体"/>
          <w:color w:val="auto"/>
          <w:sz w:val="24"/>
          <w:highlight w:val="none"/>
        </w:rPr>
        <w:t>谈判小组所有成员集中与单一投标人分别进行谈判，并给予所有参加谈判的投标人平等的谈判机会。</w:t>
      </w:r>
    </w:p>
    <w:p w14:paraId="7B58ABA0">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3.5.4 </w:t>
      </w:r>
      <w:r>
        <w:rPr>
          <w:rFonts w:hint="eastAsia" w:ascii="宋体" w:hAnsi="宋体"/>
          <w:color w:val="auto"/>
          <w:sz w:val="24"/>
          <w:highlight w:val="none"/>
        </w:rPr>
        <w:t>在谈判过程中，谈判小组可以根据谈判文件和谈判情况实质性变动采购需求中的技术、服务要求以及合同草案条款，谈判文件中的其他内容将不再变动。实质性变动的内容，经采购人代表确认</w:t>
      </w:r>
      <w:r>
        <w:rPr>
          <w:rFonts w:hint="eastAsia" w:ascii="宋体" w:hAnsi="宋体"/>
          <w:b/>
          <w:color w:val="auto"/>
          <w:sz w:val="24"/>
          <w:highlight w:val="none"/>
        </w:rPr>
        <w:t>后，谈判小组将在评审界面的对话框及时通知所有参加谈判的供应商。评审期间，供应商可通过评审界面的对话框接受询问。谈判结束后，未实质性响应谈判文件的响应文件按无效处理，谈判小组应当告知有关供应商。</w:t>
      </w:r>
    </w:p>
    <w:p w14:paraId="096DFA09">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3.5.5 </w:t>
      </w:r>
      <w:r>
        <w:rPr>
          <w:rFonts w:hint="eastAsia" w:ascii="宋体" w:hAnsi="宋体"/>
          <w:color w:val="auto"/>
          <w:sz w:val="24"/>
          <w:highlight w:val="none"/>
        </w:rPr>
        <w:t>对谈判文件作出的实质性变动是谈判文件的有效组成部分。</w:t>
      </w:r>
    </w:p>
    <w:p w14:paraId="49DE2593">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3.5.6 </w:t>
      </w:r>
      <w:r>
        <w:rPr>
          <w:rFonts w:hint="eastAsia" w:ascii="宋体" w:hAnsi="宋体"/>
          <w:color w:val="auto"/>
          <w:sz w:val="24"/>
          <w:highlight w:val="none"/>
        </w:rPr>
        <w:t>投标人应当按照谈判文件的变动情况和谈判小组的要求重新提交投标文件（响应文件）或修订投标文件相应条款，</w:t>
      </w:r>
      <w:r>
        <w:rPr>
          <w:rFonts w:hint="eastAsia" w:ascii="宋体" w:hAnsi="宋体"/>
          <w:b/>
          <w:color w:val="auto"/>
          <w:sz w:val="24"/>
          <w:highlight w:val="none"/>
        </w:rPr>
        <w:t>并应加</w:t>
      </w:r>
      <w:r>
        <w:rPr>
          <w:rFonts w:ascii="宋体" w:hAnsi="宋体"/>
          <w:b/>
          <w:color w:val="auto"/>
          <w:sz w:val="24"/>
          <w:highlight w:val="none"/>
        </w:rPr>
        <w:t>盖</w:t>
      </w:r>
      <w:r>
        <w:rPr>
          <w:rFonts w:hint="eastAsia" w:ascii="宋体" w:hAnsi="宋体"/>
          <w:b/>
          <w:color w:val="auto"/>
          <w:sz w:val="24"/>
          <w:highlight w:val="none"/>
        </w:rPr>
        <w:t>投</w:t>
      </w:r>
      <w:r>
        <w:rPr>
          <w:rFonts w:ascii="宋体" w:hAnsi="宋体"/>
          <w:b/>
          <w:color w:val="auto"/>
          <w:sz w:val="24"/>
          <w:highlight w:val="none"/>
        </w:rPr>
        <w:t>标人</w:t>
      </w:r>
      <w:r>
        <w:rPr>
          <w:rFonts w:hint="eastAsia" w:ascii="宋体" w:hAnsi="宋体"/>
          <w:b/>
          <w:color w:val="auto"/>
          <w:sz w:val="24"/>
          <w:highlight w:val="none"/>
        </w:rPr>
        <w:t>或其法定代表人的电子签名</w:t>
      </w:r>
      <w:r>
        <w:rPr>
          <w:rFonts w:hint="eastAsia" w:ascii="宋体" w:hAnsi="宋体" w:cs="楷体_GB2312"/>
          <w:b/>
          <w:color w:val="auto"/>
          <w:sz w:val="24"/>
          <w:highlight w:val="none"/>
        </w:rPr>
        <w:t>（签章）</w:t>
      </w:r>
      <w:r>
        <w:rPr>
          <w:rFonts w:hint="eastAsia" w:ascii="宋体" w:hAnsi="宋体"/>
          <w:b/>
          <w:color w:val="auto"/>
          <w:sz w:val="24"/>
          <w:highlight w:val="none"/>
        </w:rPr>
        <w:t>。</w:t>
      </w:r>
    </w:p>
    <w:p w14:paraId="17D35D39">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3.5.7 </w:t>
      </w:r>
      <w:r>
        <w:rPr>
          <w:rFonts w:hint="eastAsia" w:ascii="宋体" w:hAnsi="宋体"/>
          <w:color w:val="auto"/>
          <w:sz w:val="24"/>
          <w:highlight w:val="none"/>
        </w:rPr>
        <w:t>价格谈判</w:t>
      </w:r>
    </w:p>
    <w:p w14:paraId="04B539E4">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3.5.7.1 </w:t>
      </w:r>
      <w:r>
        <w:rPr>
          <w:rFonts w:hint="eastAsia" w:ascii="宋体" w:hAnsi="宋体"/>
          <w:color w:val="auto"/>
          <w:sz w:val="24"/>
          <w:highlight w:val="none"/>
        </w:rPr>
        <w:t>见第二章“采购项目及服务要求”</w:t>
      </w:r>
      <w:r>
        <w:rPr>
          <w:rFonts w:ascii="宋体" w:hAnsi="宋体"/>
          <w:color w:val="auto"/>
          <w:sz w:val="24"/>
          <w:highlight w:val="none"/>
        </w:rPr>
        <w:t>1.3.2</w:t>
      </w:r>
      <w:r>
        <w:rPr>
          <w:rFonts w:hint="eastAsia" w:ascii="宋体" w:hAnsi="宋体"/>
          <w:color w:val="auto"/>
          <w:sz w:val="24"/>
          <w:highlight w:val="none"/>
        </w:rPr>
        <w:t>项规定</w:t>
      </w:r>
    </w:p>
    <w:p w14:paraId="12CA90F0">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3.5.7.2 </w:t>
      </w:r>
      <w:r>
        <w:rPr>
          <w:rFonts w:hint="eastAsia" w:ascii="宋体" w:hAnsi="宋体"/>
          <w:color w:val="auto"/>
          <w:sz w:val="24"/>
          <w:highlight w:val="none"/>
        </w:rPr>
        <w:t>谈判小组应当要求所有继续参加谈判的供应商在规定时间内提交最后报价，提交最后报价的供应商不得少于</w:t>
      </w:r>
      <w:r>
        <w:rPr>
          <w:rFonts w:ascii="宋体" w:hAnsi="宋体"/>
          <w:color w:val="auto"/>
          <w:sz w:val="24"/>
          <w:highlight w:val="none"/>
        </w:rPr>
        <w:t>3</w:t>
      </w:r>
      <w:r>
        <w:rPr>
          <w:rFonts w:hint="eastAsia" w:ascii="宋体" w:hAnsi="宋体"/>
          <w:color w:val="auto"/>
          <w:sz w:val="24"/>
          <w:highlight w:val="none"/>
        </w:rPr>
        <w:t>家。最后报价是投标文件（响应文件）的有效组成部分。</w:t>
      </w:r>
    </w:p>
    <w:p w14:paraId="728FB84A">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3.5.8</w:t>
      </w:r>
      <w:r>
        <w:rPr>
          <w:rFonts w:hint="eastAsia" w:ascii="宋体" w:hAnsi="宋体"/>
          <w:color w:val="auto"/>
          <w:sz w:val="24"/>
          <w:highlight w:val="none"/>
        </w:rPr>
        <w:t xml:space="preserve"> 谈判文件的实质性变动影响到投标人因此无法继续参加谈判的，投标人可以在提交最后报价之前退出谈判。其响应文件按无效处理的投标人，所提交的最后报价也按无效处理。</w:t>
      </w:r>
    </w:p>
    <w:p w14:paraId="5A515141">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3.5.9</w:t>
      </w:r>
      <w:r>
        <w:rPr>
          <w:rFonts w:hint="eastAsia" w:ascii="宋体" w:hAnsi="宋体"/>
          <w:b/>
          <w:color w:val="auto"/>
          <w:sz w:val="24"/>
          <w:highlight w:val="none"/>
        </w:rPr>
        <w:t xml:space="preserve"> 投标人提交最后报价应在系统中填列。</w:t>
      </w:r>
    </w:p>
    <w:p w14:paraId="7CBB7DCC">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3.5.10</w:t>
      </w:r>
      <w:r>
        <w:rPr>
          <w:rFonts w:hint="eastAsia" w:ascii="宋体" w:hAnsi="宋体"/>
          <w:b/>
          <w:color w:val="auto"/>
          <w:sz w:val="24"/>
          <w:highlight w:val="none"/>
        </w:rPr>
        <w:t xml:space="preserve"> </w:t>
      </w:r>
      <w:r>
        <w:rPr>
          <w:rFonts w:hint="eastAsia"/>
          <w:b/>
          <w:color w:val="auto"/>
          <w:sz w:val="24"/>
          <w:szCs w:val="24"/>
          <w:highlight w:val="none"/>
        </w:rPr>
        <w:t>本项目在开标后只进行一轮报价，即最后报价。网</w:t>
      </w:r>
      <w:r>
        <w:rPr>
          <w:b/>
          <w:color w:val="auto"/>
          <w:sz w:val="24"/>
          <w:szCs w:val="24"/>
          <w:highlight w:val="none"/>
        </w:rPr>
        <w:t>上交易系统中</w:t>
      </w:r>
      <w:r>
        <w:rPr>
          <w:rFonts w:hint="eastAsia"/>
          <w:b/>
          <w:color w:val="auto"/>
          <w:sz w:val="24"/>
          <w:szCs w:val="24"/>
          <w:highlight w:val="none"/>
        </w:rPr>
        <w:t>管理员发起最后报价后，</w:t>
      </w:r>
      <w:r>
        <w:rPr>
          <w:rFonts w:hint="eastAsia" w:ascii="宋体" w:hAnsi="宋体"/>
          <w:b/>
          <w:color w:val="auto"/>
          <w:sz w:val="24"/>
          <w:highlight w:val="none"/>
        </w:rPr>
        <w:t>如投标人未在指定时限内提交最后报价，视为该供应商根据谈判情况退出谈判。</w:t>
      </w:r>
    </w:p>
    <w:p w14:paraId="1E4A70FA">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 xml:space="preserve">3.5.11 </w:t>
      </w:r>
      <w:r>
        <w:rPr>
          <w:rFonts w:hint="eastAsia" w:ascii="宋体" w:hAnsi="宋体"/>
          <w:b/>
          <w:color w:val="auto"/>
          <w:sz w:val="24"/>
          <w:highlight w:val="none"/>
        </w:rPr>
        <w:t>投标人在网上报价过程中，如遇到网上投标系统的操作问题，可通过网上预留的咨询电话进行咨询。投标人因未按照要求进行操作、投标人办理的数字证书失效等其他自身原因导致响应文件错误或无效的，谈判小组将认定其为无效投</w:t>
      </w:r>
      <w:r>
        <w:rPr>
          <w:rFonts w:ascii="宋体" w:hAnsi="宋体"/>
          <w:b/>
          <w:color w:val="auto"/>
          <w:sz w:val="24"/>
          <w:highlight w:val="none"/>
        </w:rPr>
        <w:t>标</w:t>
      </w:r>
      <w:r>
        <w:rPr>
          <w:rFonts w:hint="eastAsia" w:ascii="宋体" w:hAnsi="宋体"/>
          <w:b/>
          <w:color w:val="auto"/>
          <w:sz w:val="24"/>
          <w:highlight w:val="none"/>
        </w:rPr>
        <w:t>。</w:t>
      </w:r>
    </w:p>
    <w:p w14:paraId="4D33FC16">
      <w:pPr>
        <w:autoSpaceDE w:val="0"/>
        <w:autoSpaceDN w:val="0"/>
        <w:adjustRightInd w:val="0"/>
        <w:snapToGrid w:val="0"/>
        <w:spacing w:before="156" w:beforeLines="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3.6 </w:t>
      </w:r>
      <w:r>
        <w:rPr>
          <w:rFonts w:hint="eastAsia" w:ascii="黑体" w:hAnsi="黑体" w:eastAsia="黑体"/>
          <w:b/>
          <w:color w:val="auto"/>
          <w:sz w:val="24"/>
          <w:highlight w:val="none"/>
        </w:rPr>
        <w:t>复核</w:t>
      </w:r>
      <w:r>
        <w:rPr>
          <w:rFonts w:hint="eastAsia" w:ascii="宋体" w:hAnsi="宋体"/>
          <w:color w:val="auto"/>
          <w:sz w:val="24"/>
          <w:highlight w:val="none"/>
        </w:rPr>
        <w:t>：谈判小组对排名第一的、报价最低的、投标或相应文件被认定为无效的情形按谈判文件实质性要求进行重点复核。</w:t>
      </w:r>
    </w:p>
    <w:p w14:paraId="7F82CFF6">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bookmarkStart w:id="46" w:name="_Toc423723408"/>
      <w:r>
        <w:rPr>
          <w:rFonts w:ascii="黑体" w:hAnsi="黑体" w:eastAsia="黑体"/>
          <w:b/>
          <w:color w:val="auto"/>
          <w:sz w:val="24"/>
          <w:highlight w:val="none"/>
        </w:rPr>
        <w:t xml:space="preserve">3.7 </w:t>
      </w:r>
      <w:r>
        <w:rPr>
          <w:rFonts w:hint="eastAsia" w:ascii="黑体" w:hAnsi="黑体" w:eastAsia="黑体"/>
          <w:b/>
          <w:color w:val="auto"/>
          <w:sz w:val="24"/>
          <w:highlight w:val="none"/>
        </w:rPr>
        <w:t>评审结果</w:t>
      </w:r>
      <w:bookmarkEnd w:id="46"/>
    </w:p>
    <w:p w14:paraId="4F22B3B6">
      <w:pPr>
        <w:autoSpaceDE w:val="0"/>
        <w:autoSpaceDN w:val="0"/>
        <w:adjustRightInd w:val="0"/>
        <w:snapToGrid w:val="0"/>
        <w:spacing w:before="156" w:beforeLines="50" w:line="300" w:lineRule="auto"/>
        <w:ind w:firstLine="616" w:firstLineChars="257"/>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7 </w:t>
      </w:r>
      <w:r>
        <w:rPr>
          <w:rFonts w:ascii="宋体" w:hAnsi="宋体"/>
          <w:color w:val="auto"/>
          <w:sz w:val="24"/>
          <w:highlight w:val="none"/>
        </w:rPr>
        <w:t>.1</w:t>
      </w:r>
      <w:r>
        <w:rPr>
          <w:rFonts w:hint="eastAsia" w:ascii="宋体" w:hAnsi="宋体"/>
          <w:color w:val="auto"/>
          <w:sz w:val="24"/>
          <w:highlight w:val="none"/>
        </w:rPr>
        <w:t xml:space="preserve"> 谈判小组从质量和服务均能满足谈判文件实质性响应要求的投标人中，按照报价由低到高的顺序提出</w:t>
      </w:r>
      <w:r>
        <w:rPr>
          <w:rFonts w:ascii="宋体" w:hAnsi="宋体"/>
          <w:color w:val="auto"/>
          <w:sz w:val="24"/>
          <w:highlight w:val="none"/>
        </w:rPr>
        <w:t>3</w:t>
      </w:r>
      <w:r>
        <w:rPr>
          <w:rFonts w:hint="eastAsia" w:ascii="宋体" w:hAnsi="宋体"/>
          <w:color w:val="auto"/>
          <w:sz w:val="24"/>
          <w:highlight w:val="none"/>
        </w:rPr>
        <w:t>名以上成交候选人，并编写书面评审报告。</w:t>
      </w:r>
    </w:p>
    <w:p w14:paraId="42B47951">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确定成交供应商：按第三章“投标人须知前附表”</w:t>
      </w:r>
      <w:r>
        <w:rPr>
          <w:rFonts w:ascii="宋体" w:hAnsi="宋体"/>
          <w:color w:val="auto"/>
          <w:sz w:val="24"/>
          <w:highlight w:val="none"/>
        </w:rPr>
        <w:t>7.1</w:t>
      </w:r>
      <w:r>
        <w:rPr>
          <w:rFonts w:hint="eastAsia" w:ascii="宋体" w:hAnsi="宋体"/>
          <w:color w:val="auto"/>
          <w:sz w:val="24"/>
          <w:highlight w:val="none"/>
        </w:rPr>
        <w:t>款规定及本章第</w:t>
      </w:r>
      <w:r>
        <w:rPr>
          <w:rFonts w:ascii="宋体" w:hAnsi="宋体"/>
          <w:color w:val="auto"/>
          <w:sz w:val="24"/>
          <w:highlight w:val="none"/>
        </w:rPr>
        <w:t>1</w:t>
      </w:r>
      <w:r>
        <w:rPr>
          <w:rFonts w:hint="eastAsia" w:ascii="宋体" w:hAnsi="宋体"/>
          <w:color w:val="auto"/>
          <w:sz w:val="24"/>
          <w:highlight w:val="none"/>
        </w:rPr>
        <w:t>条规定。</w:t>
      </w:r>
    </w:p>
    <w:p w14:paraId="6C1D0203">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3.8 </w:t>
      </w:r>
      <w:r>
        <w:rPr>
          <w:rFonts w:hint="eastAsia" w:ascii="黑体" w:hAnsi="黑体" w:eastAsia="黑体"/>
          <w:b/>
          <w:color w:val="auto"/>
          <w:sz w:val="24"/>
          <w:highlight w:val="none"/>
        </w:rPr>
        <w:t>谈判终止</w:t>
      </w:r>
    </w:p>
    <w:p w14:paraId="4DBDF581">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.1 </w:t>
      </w:r>
      <w:r>
        <w:rPr>
          <w:rFonts w:hint="eastAsia" w:ascii="宋体" w:hAnsi="宋体"/>
          <w:color w:val="auto"/>
          <w:sz w:val="24"/>
          <w:highlight w:val="none"/>
        </w:rPr>
        <w:t>出现下列情形之一的，终止竞争性谈判活动：</w:t>
      </w:r>
    </w:p>
    <w:p w14:paraId="731C7735">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）因情况变化，不再符合规定的竞争性谈判方式适用情形的；</w:t>
      </w:r>
    </w:p>
    <w:p w14:paraId="44283E83">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）出现影响采购公正的违法、违规行为的；</w:t>
      </w:r>
    </w:p>
    <w:p w14:paraId="75B4B4A6">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）在采购过程中符合竞争要求的供应商或者报价未超过预算金额的供应商不足</w:t>
      </w:r>
      <w:r>
        <w:rPr>
          <w:rFonts w:ascii="宋体" w:hAnsi="宋体"/>
          <w:color w:val="auto"/>
          <w:sz w:val="24"/>
          <w:highlight w:val="none"/>
        </w:rPr>
        <w:t>3</w:t>
      </w:r>
      <w:r>
        <w:rPr>
          <w:rFonts w:hint="eastAsia" w:ascii="宋体" w:hAnsi="宋体"/>
          <w:color w:val="auto"/>
          <w:sz w:val="24"/>
          <w:highlight w:val="none"/>
        </w:rPr>
        <w:t>家的。</w:t>
      </w:r>
    </w:p>
    <w:p w14:paraId="6FD814B3">
      <w:pPr>
        <w:autoSpaceDE w:val="0"/>
        <w:autoSpaceDN w:val="0"/>
        <w:adjustRightInd w:val="0"/>
        <w:snapToGrid w:val="0"/>
        <w:spacing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）在采购活动中因重大变故，采购任务取消的</w:t>
      </w:r>
      <w:r>
        <w:rPr>
          <w:rFonts w:ascii="宋体" w:hAnsi="宋体"/>
          <w:color w:val="auto"/>
          <w:sz w:val="24"/>
          <w:highlight w:val="none"/>
        </w:rPr>
        <w:t>.</w:t>
      </w:r>
    </w:p>
    <w:p w14:paraId="00DE1D67">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.2 </w:t>
      </w:r>
      <w:r>
        <w:rPr>
          <w:rFonts w:hint="eastAsia" w:ascii="宋体" w:hAnsi="宋体"/>
          <w:color w:val="auto"/>
          <w:sz w:val="24"/>
          <w:highlight w:val="none"/>
        </w:rPr>
        <w:t>谈判小组要在采购项目（标段</w:t>
      </w:r>
      <w:r>
        <w:rPr>
          <w:rFonts w:hint="eastAsia" w:ascii="宋体" w:hAnsi="宋体" w:cs="楷体_GB2312"/>
          <w:color w:val="auto"/>
          <w:sz w:val="24"/>
          <w:highlight w:val="none"/>
          <w:lang w:val="zh-CN"/>
        </w:rPr>
        <w:t>&lt;包&gt;</w:t>
      </w:r>
      <w:r>
        <w:rPr>
          <w:rFonts w:hint="eastAsia" w:ascii="宋体" w:hAnsi="宋体"/>
          <w:color w:val="auto"/>
          <w:sz w:val="24"/>
          <w:highlight w:val="none"/>
        </w:rPr>
        <w:t>）谈判失败时，出具谈判文件是否存在不合理条款的论证意见，要协助采购人、采购代理机构、财政部门答复质疑或处理投诉事项。　</w:t>
      </w:r>
    </w:p>
    <w:p w14:paraId="2F3C85D7">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color w:val="auto"/>
          <w:sz w:val="24"/>
          <w:highlight w:val="none"/>
        </w:rPr>
        <w:t xml:space="preserve"> </w:t>
      </w:r>
    </w:p>
    <w:p w14:paraId="7F9314E7">
      <w:pPr>
        <w:widowControl w:val="0"/>
        <w:adjustRightInd w:val="0"/>
        <w:snapToGrid w:val="0"/>
        <w:spacing w:before="156" w:beforeLines="50" w:line="300" w:lineRule="auto"/>
        <w:ind w:left="23" w:firstLine="556"/>
        <w:jc w:val="left"/>
        <w:outlineLvl w:val="1"/>
        <w:rPr>
          <w:rFonts w:ascii="黑体" w:hAnsi="黑体" w:eastAsia="黑体" w:cs="楷体_GB2312"/>
          <w:b/>
          <w:bCs/>
          <w:color w:val="auto"/>
          <w:sz w:val="28"/>
          <w:szCs w:val="28"/>
          <w:highlight w:val="none"/>
          <w:lang w:val="zh-CN"/>
        </w:rPr>
      </w:pPr>
      <w:bookmarkStart w:id="47" w:name="_Toc206599138"/>
      <w:bookmarkStart w:id="48" w:name="_Toc57644596"/>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政府采购促进中小企业发展扶持政策</w:t>
      </w:r>
      <w:bookmarkEnd w:id="47"/>
      <w:bookmarkEnd w:id="48"/>
    </w:p>
    <w:p w14:paraId="2F8D826E">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在政府采购活动中，供应商提供的货物、工程或者服务符合下列情形的， 享受</w:t>
      </w:r>
      <w:r>
        <w:rPr>
          <w:rFonts w:hint="eastAsia" w:ascii="宋体" w:hAnsi="宋体"/>
          <w:color w:val="auto"/>
          <w:sz w:val="24"/>
          <w:highlight w:val="none"/>
        </w:rPr>
        <w:t>《政府采购促进中小企业发展管理办法》</w:t>
      </w:r>
      <w:r>
        <w:rPr>
          <w:rFonts w:ascii="宋体" w:hAnsi="宋体"/>
          <w:color w:val="auto"/>
          <w:sz w:val="24"/>
          <w:highlight w:val="none"/>
        </w:rPr>
        <w:t>规定的中小企业扶持政策：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（一）在货物采购项目中，货物由中小企业制造，即货物由中小企业生产且使用该中小企业商号或者注册商标；</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（二）在工程采购项目中，工程由中小企业承建，即工程施工单位为中小企业；</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（三）在服务采购项目中，服务由中小企业承接，即提供服务的人员为中小企业依照《中华人民共和国劳动合同法》订立劳动合同的从业人员</w:t>
      </w:r>
      <w:r>
        <w:rPr>
          <w:rFonts w:hint="eastAsia" w:ascii="宋体" w:hAnsi="宋体"/>
          <w:color w:val="auto"/>
          <w:sz w:val="24"/>
          <w:highlight w:val="none"/>
        </w:rPr>
        <w:t>。</w:t>
      </w:r>
    </w:p>
    <w:p w14:paraId="632B9EA5">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在货物采购项目中，供应商提供的货物既有中小企业制造货物，也有大型企业制造货物的，不享受中小企业扶持政策。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14:paraId="27E29299">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4.2 符合中小企业划分标准的个体工商户，在政府采购活动中视同中小企业。</w:t>
      </w:r>
    </w:p>
    <w:p w14:paraId="3B1D4BF1">
      <w:pPr>
        <w:adjustRightInd w:val="0"/>
        <w:snapToGrid w:val="0"/>
        <w:spacing w:before="156"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3监狱企业、符合法</w:t>
      </w:r>
      <w:r>
        <w:rPr>
          <w:rFonts w:ascii="宋体" w:hAnsi="宋体"/>
          <w:color w:val="auto"/>
          <w:sz w:val="24"/>
          <w:highlight w:val="none"/>
        </w:rPr>
        <w:t>定</w:t>
      </w:r>
      <w:r>
        <w:rPr>
          <w:rFonts w:hint="eastAsia" w:ascii="宋体" w:hAnsi="宋体"/>
          <w:color w:val="auto"/>
          <w:sz w:val="24"/>
          <w:highlight w:val="none"/>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372D696C">
      <w:pPr>
        <w:adjustRightInd w:val="0"/>
        <w:snapToGrid w:val="0"/>
        <w:spacing w:before="156"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 xml:space="preserve"> 享受政府采购支持政策的残疾人福利性单位应当同时满足以下条件：</w:t>
      </w:r>
    </w:p>
    <w:p w14:paraId="45AAD5AD">
      <w:pPr>
        <w:adjustRightInd w:val="0"/>
        <w:snapToGrid w:val="0"/>
        <w:spacing w:before="156" w:beforeLines="50" w:line="300" w:lineRule="auto"/>
        <w:ind w:firstLine="555"/>
        <w:rPr>
          <w:rFonts w:ascii="宋体" w:hAnsi="宋体"/>
          <w:color w:val="auto"/>
          <w:sz w:val="24"/>
          <w:highlight w:val="none"/>
        </w:rPr>
      </w:pPr>
      <w:r>
        <w:rPr>
          <w:rFonts w:hint="eastAsia" w:ascii="宋体" w:hAnsi="宋体"/>
          <w:color w:val="auto"/>
          <w:sz w:val="24"/>
          <w:highlight w:val="none"/>
        </w:rPr>
        <w:t>（1）安置的残疾人占本单位在职职工人数的比例不低于25%（含25%），并且安置的残疾人人数不少于10人（含10人）；</w:t>
      </w:r>
    </w:p>
    <w:p w14:paraId="0D80D907">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（2）依法与安置的每位残疾人签订了一年以上（含一年）的劳动合同或服务协议；</w:t>
      </w:r>
    </w:p>
    <w:p w14:paraId="55E02AEC">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（3）为安置的每位残疾人按月足额缴纳了基本养老保险、基本医疗保险、失业保险、工伤保险和生育保险等社会保险费；</w:t>
      </w:r>
    </w:p>
    <w:p w14:paraId="63FFC612">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（4）通过银行等金融机构向安置的每位残疾人，按月支付了不低于单位所在区县适用的经省级人民政府批准的月最低工资标准的工资；</w:t>
      </w:r>
    </w:p>
    <w:p w14:paraId="28E9EBF2">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59B74C95">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EE0718">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4.4 参加本次政府采购项目的中小企业应按附件格式提供《中小企业声明函》。如谈判文件接受以联合体形式参加投标的，联合体各方均应按附件格式提供《中小企业声明函》。</w:t>
      </w:r>
    </w:p>
    <w:p w14:paraId="12ED7D5A">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供应商按照财库〔2020〕46号规定及谈判文件要求提供声明函内容不实的，属于提供虚假材料谋取中标、成交，依照《中华人民共和国政府采购法》等国家有关规定追究相应责任。</w:t>
      </w:r>
    </w:p>
    <w:p w14:paraId="423B5CD8">
      <w:pPr>
        <w:adjustRightInd w:val="0"/>
        <w:snapToGrid w:val="0"/>
        <w:spacing w:before="156"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5本次政府采购项目专门面向中小企业，专门面向中小企业的采购项目无价格扣除。</w:t>
      </w:r>
    </w:p>
    <w:p w14:paraId="0F70EB3D">
      <w:pPr>
        <w:adjustRightInd w:val="0"/>
        <w:snapToGrid w:val="0"/>
        <w:spacing w:before="156" w:beforeLines="50" w:line="300" w:lineRule="auto"/>
        <w:ind w:firstLine="555"/>
        <w:rPr>
          <w:rFonts w:ascii="宋体" w:hAnsi="宋体"/>
          <w:color w:val="auto"/>
          <w:sz w:val="24"/>
          <w:highlight w:val="none"/>
        </w:rPr>
      </w:pPr>
      <w:r>
        <w:rPr>
          <w:rFonts w:hint="eastAsia" w:ascii="宋体" w:hAnsi="宋体"/>
          <w:color w:val="auto"/>
          <w:sz w:val="24"/>
          <w:highlight w:val="none"/>
        </w:rPr>
        <w:t>4.6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3CCDD395">
      <w:pPr>
        <w:adjustRightInd w:val="0"/>
        <w:snapToGrid w:val="0"/>
        <w:spacing w:before="156" w:beforeLines="50" w:line="300" w:lineRule="auto"/>
        <w:ind w:firstLine="555"/>
        <w:rPr>
          <w:rFonts w:ascii="宋体" w:hAnsi="宋体"/>
          <w:color w:val="auto"/>
          <w:sz w:val="24"/>
          <w:highlight w:val="none"/>
        </w:rPr>
      </w:pPr>
      <w:r>
        <w:rPr>
          <w:rFonts w:hint="eastAsia" w:ascii="宋体" w:hAnsi="宋体"/>
          <w:color w:val="auto"/>
          <w:sz w:val="24"/>
          <w:highlight w:val="none"/>
        </w:rPr>
        <w:t>4.7中标、成交供应商享受中小企业扶持政策的，中标、成交供应商的《中小企业声明函》将随中标、成交结果公开。</w:t>
      </w:r>
    </w:p>
    <w:p w14:paraId="563B2ED2">
      <w:pPr>
        <w:adjustRightInd w:val="0"/>
        <w:snapToGrid w:val="0"/>
        <w:spacing w:before="156" w:beforeLines="50" w:line="300" w:lineRule="auto"/>
        <w:ind w:firstLine="555"/>
        <w:rPr>
          <w:rFonts w:ascii="宋体" w:hAnsi="宋体"/>
          <w:color w:val="auto"/>
          <w:sz w:val="24"/>
          <w:highlight w:val="none"/>
        </w:rPr>
      </w:pPr>
      <w:r>
        <w:rPr>
          <w:rFonts w:hint="eastAsia" w:ascii="宋体" w:hAnsi="宋体"/>
          <w:color w:val="auto"/>
          <w:sz w:val="24"/>
          <w:highlight w:val="none"/>
        </w:rPr>
        <w:t>4.8依法享受扶持政策获得政府采购合同的，小微企业不得将合同分包给大中型企业，中型企业不得将合同分包给大型企业。</w:t>
      </w:r>
    </w:p>
    <w:p w14:paraId="722536C6">
      <w:pPr>
        <w:adjustRightInd w:val="0"/>
        <w:snapToGrid w:val="0"/>
        <w:spacing w:before="156" w:beforeLines="50" w:line="300" w:lineRule="auto"/>
        <w:ind w:firstLine="555"/>
        <w:rPr>
          <w:rFonts w:ascii="宋体" w:hAnsi="宋体"/>
          <w:color w:val="auto"/>
          <w:sz w:val="24"/>
          <w:highlight w:val="none"/>
        </w:rPr>
      </w:pPr>
      <w:r>
        <w:rPr>
          <w:rFonts w:hint="eastAsia" w:ascii="宋体" w:hAnsi="宋体"/>
          <w:color w:val="auto"/>
          <w:sz w:val="24"/>
          <w:highlight w:val="none"/>
        </w:rPr>
        <w:t>4.9政府采购监督检查、投诉处理及政府采购行政处罚中对中小企业的认定，由货物制造商或者工程、服务供应商注册登记所在地的县级以上人民政府中小企业主管部门负责。</w:t>
      </w:r>
    </w:p>
    <w:p w14:paraId="22A4FC75">
      <w:pPr>
        <w:widowControl w:val="0"/>
        <w:adjustRightInd w:val="0"/>
        <w:snapToGrid w:val="0"/>
        <w:spacing w:before="156" w:beforeLines="50" w:line="300" w:lineRule="auto"/>
        <w:ind w:firstLine="551" w:firstLineChars="196"/>
        <w:jc w:val="left"/>
        <w:outlineLvl w:val="1"/>
        <w:rPr>
          <w:rFonts w:ascii="黑体" w:hAnsi="黑体" w:eastAsia="黑体" w:cs="楷体_GB2312"/>
          <w:b/>
          <w:bCs/>
          <w:color w:val="auto"/>
          <w:sz w:val="28"/>
          <w:szCs w:val="28"/>
          <w:highlight w:val="none"/>
          <w:lang w:val="zh-CN"/>
        </w:rPr>
      </w:pPr>
      <w:bookmarkStart w:id="49" w:name="_Toc224051045"/>
    </w:p>
    <w:p w14:paraId="61E8141F">
      <w:pPr>
        <w:widowControl w:val="0"/>
        <w:adjustRightInd w:val="0"/>
        <w:snapToGrid w:val="0"/>
        <w:spacing w:before="156" w:beforeLines="50" w:line="300" w:lineRule="auto"/>
        <w:ind w:firstLine="551" w:firstLineChars="196"/>
        <w:jc w:val="left"/>
        <w:outlineLvl w:val="1"/>
        <w:rPr>
          <w:rFonts w:ascii="黑体" w:hAnsi="黑体" w:eastAsia="黑体" w:cs="楷体_GB2312"/>
          <w:b/>
          <w:bCs/>
          <w:color w:val="auto"/>
          <w:sz w:val="28"/>
          <w:szCs w:val="28"/>
          <w:highlight w:val="none"/>
          <w:lang w:val="zh-CN"/>
        </w:rPr>
      </w:pPr>
      <w:r>
        <w:rPr>
          <w:rFonts w:hint="eastAsia" w:ascii="黑体" w:hAnsi="黑体" w:eastAsia="黑体" w:cs="楷体_GB2312"/>
          <w:b/>
          <w:bCs/>
          <w:color w:val="auto"/>
          <w:sz w:val="28"/>
          <w:szCs w:val="28"/>
          <w:highlight w:val="none"/>
          <w:lang w:val="zh-CN"/>
        </w:rPr>
        <w:t>5、异常低价审查</w:t>
      </w:r>
      <w:bookmarkEnd w:id="49"/>
    </w:p>
    <w:p w14:paraId="7A07776F">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据《关于推动解决政府采购异常低价问题的通知》财库〔2026〕2号要求，强化政府采购异常低价审查。</w:t>
      </w:r>
    </w:p>
    <w:p w14:paraId="054DFD4B">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.1 </w:t>
      </w:r>
      <w:r>
        <w:rPr>
          <w:rFonts w:hint="eastAsia" w:ascii="宋体" w:hAnsi="宋体"/>
          <w:color w:val="auto"/>
          <w:sz w:val="24"/>
          <w:highlight w:val="none"/>
        </w:rPr>
        <w:t>政府采购评审中出现下列情形之一的，谈判小组应当启动异常低价投标（响应）审查程序：</w:t>
      </w:r>
    </w:p>
    <w:p w14:paraId="2E0594D9">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（1）投标（响应）报价低于全部通过符合性审查供应商投标（响应）报价平均值50%的，即投标（响应）报价&lt;全部通过符合性审查供应商投标（响应）报价平均值×50%；</w:t>
      </w:r>
    </w:p>
    <w:p w14:paraId="26F47C98">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（2）投标（响应）报价低于通过符合性审查的次低报价供应商投标（响应）报价50%的，即投标（响应）报价&lt;通过符合性审查的次低报价供应商投标（响应）报价×50%；</w:t>
      </w:r>
    </w:p>
    <w:p w14:paraId="29F27BCF">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（3）投标（响应）报价低于采购项目最高限价45%的，即投标（响应）报价&lt;采购项目最高限价×45%；</w:t>
      </w:r>
    </w:p>
    <w:p w14:paraId="658FCBC3">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（4）谈判小组基于专业判断，认为投标人报价过低，有可能影响产品质量或者不能诚信履约的其他情形。</w:t>
      </w:r>
    </w:p>
    <w:p w14:paraId="18DC1219">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5.2 谈判小组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5919C442">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谈判小组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谈判小组应当将其作为无效投标（响应）处理。</w:t>
      </w:r>
    </w:p>
    <w:p w14:paraId="623AC52B">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7DC83DFF">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异常低价投标（响应）审查的启动原因、审查意见和审查结果应当在评审报告中记录，并随投标人提供的相关书面说明及证明材料，以及谈判小组有关互联网浏览、查询历史一并归档。</w:t>
      </w:r>
    </w:p>
    <w:p w14:paraId="2FA22EE3">
      <w:pPr>
        <w:widowControl w:val="0"/>
        <w:adjustRightInd w:val="0"/>
        <w:snapToGrid w:val="0"/>
        <w:spacing w:before="156" w:beforeLines="50" w:line="300" w:lineRule="auto"/>
        <w:rPr>
          <w:color w:val="auto"/>
          <w:sz w:val="24"/>
          <w:szCs w:val="24"/>
          <w:highlight w:val="none"/>
        </w:rPr>
      </w:pPr>
      <w:r>
        <w:rPr>
          <w:color w:val="auto"/>
          <w:sz w:val="24"/>
          <w:szCs w:val="24"/>
          <w:highlight w:val="none"/>
        </w:rPr>
        <w:br w:type="page"/>
      </w:r>
    </w:p>
    <w:p w14:paraId="023BE787">
      <w:pPr>
        <w:widowControl w:val="0"/>
        <w:autoSpaceDE w:val="0"/>
        <w:autoSpaceDN w:val="0"/>
        <w:adjustRightInd w:val="0"/>
        <w:spacing w:before="156" w:beforeLines="50" w:line="300" w:lineRule="auto"/>
        <w:ind w:firstLine="723" w:firstLineChars="200"/>
        <w:jc w:val="left"/>
        <w:textAlignment w:val="auto"/>
        <w:rPr>
          <w:rFonts w:ascii="黑体" w:eastAsia="黑体"/>
          <w:b/>
          <w:color w:val="auto"/>
          <w:sz w:val="36"/>
          <w:szCs w:val="36"/>
          <w:highlight w:val="none"/>
        </w:rPr>
      </w:pPr>
    </w:p>
    <w:p w14:paraId="3E532954">
      <w:pPr>
        <w:widowControl w:val="0"/>
        <w:snapToGrid w:val="0"/>
        <w:spacing w:line="657" w:lineRule="atLeast"/>
        <w:jc w:val="center"/>
        <w:outlineLvl w:val="0"/>
        <w:rPr>
          <w:rFonts w:ascii="黑体" w:eastAsia="黑体"/>
          <w:b/>
          <w:color w:val="auto"/>
          <w:sz w:val="36"/>
          <w:szCs w:val="36"/>
          <w:highlight w:val="none"/>
        </w:rPr>
      </w:pPr>
      <w:bookmarkStart w:id="50" w:name="_Toc206599139"/>
      <w:r>
        <w:rPr>
          <w:rFonts w:hint="eastAsia" w:ascii="黑体" w:eastAsia="黑体"/>
          <w:b/>
          <w:color w:val="auto"/>
          <w:sz w:val="36"/>
          <w:szCs w:val="36"/>
          <w:highlight w:val="none"/>
        </w:rPr>
        <w:t>第五章 合同主要条款</w:t>
      </w:r>
      <w:bookmarkEnd w:id="50"/>
    </w:p>
    <w:p w14:paraId="0A8A67F5">
      <w:pPr>
        <w:widowControl w:val="0"/>
        <w:snapToGrid w:val="0"/>
        <w:spacing w:line="657" w:lineRule="atLeast"/>
        <w:jc w:val="center"/>
        <w:rPr>
          <w:rFonts w:ascii="黑体" w:eastAsia="黑体"/>
          <w:b/>
          <w:color w:val="auto"/>
          <w:spacing w:val="20"/>
          <w:sz w:val="36"/>
          <w:szCs w:val="36"/>
          <w:highlight w:val="none"/>
        </w:rPr>
      </w:pPr>
    </w:p>
    <w:p w14:paraId="605EE409">
      <w:pPr>
        <w:widowControl w:val="0"/>
        <w:snapToGrid w:val="0"/>
        <w:spacing w:line="657" w:lineRule="atLeast"/>
        <w:jc w:val="center"/>
        <w:rPr>
          <w:rFonts w:ascii="黑体" w:eastAsia="黑体"/>
          <w:b/>
          <w:color w:val="auto"/>
          <w:spacing w:val="20"/>
          <w:sz w:val="36"/>
          <w:szCs w:val="36"/>
          <w:highlight w:val="none"/>
        </w:rPr>
      </w:pPr>
      <w:r>
        <w:rPr>
          <w:rFonts w:hint="eastAsia" w:ascii="黑体" w:eastAsia="黑体"/>
          <w:b/>
          <w:color w:val="auto"/>
          <w:spacing w:val="20"/>
          <w:sz w:val="36"/>
          <w:szCs w:val="36"/>
          <w:highlight w:val="none"/>
        </w:rPr>
        <w:t>服</w:t>
      </w:r>
      <w:r>
        <w:rPr>
          <w:rFonts w:ascii="黑体" w:eastAsia="黑体"/>
          <w:b/>
          <w:color w:val="auto"/>
          <w:spacing w:val="20"/>
          <w:sz w:val="36"/>
          <w:szCs w:val="36"/>
          <w:highlight w:val="none"/>
        </w:rPr>
        <w:t xml:space="preserve"> </w:t>
      </w:r>
      <w:r>
        <w:rPr>
          <w:rFonts w:hint="eastAsia" w:ascii="黑体" w:eastAsia="黑体"/>
          <w:b/>
          <w:color w:val="auto"/>
          <w:spacing w:val="20"/>
          <w:sz w:val="36"/>
          <w:szCs w:val="36"/>
          <w:highlight w:val="none"/>
        </w:rPr>
        <w:t>务</w:t>
      </w:r>
      <w:r>
        <w:rPr>
          <w:rFonts w:ascii="黑体" w:eastAsia="黑体"/>
          <w:b/>
          <w:color w:val="auto"/>
          <w:spacing w:val="20"/>
          <w:sz w:val="36"/>
          <w:szCs w:val="36"/>
          <w:highlight w:val="none"/>
        </w:rPr>
        <w:t xml:space="preserve"> </w:t>
      </w:r>
      <w:r>
        <w:rPr>
          <w:rFonts w:hint="eastAsia" w:ascii="黑体" w:eastAsia="黑体"/>
          <w:b/>
          <w:color w:val="auto"/>
          <w:spacing w:val="20"/>
          <w:sz w:val="36"/>
          <w:szCs w:val="36"/>
          <w:highlight w:val="none"/>
        </w:rPr>
        <w:t>合</w:t>
      </w:r>
      <w:r>
        <w:rPr>
          <w:rFonts w:ascii="黑体" w:eastAsia="黑体"/>
          <w:b/>
          <w:color w:val="auto"/>
          <w:spacing w:val="20"/>
          <w:sz w:val="36"/>
          <w:szCs w:val="36"/>
          <w:highlight w:val="none"/>
        </w:rPr>
        <w:t xml:space="preserve"> </w:t>
      </w:r>
      <w:r>
        <w:rPr>
          <w:rFonts w:hint="eastAsia" w:ascii="黑体" w:eastAsia="黑体"/>
          <w:b/>
          <w:color w:val="auto"/>
          <w:spacing w:val="20"/>
          <w:sz w:val="36"/>
          <w:szCs w:val="36"/>
          <w:highlight w:val="none"/>
        </w:rPr>
        <w:t>同</w:t>
      </w:r>
    </w:p>
    <w:p w14:paraId="56134285">
      <w:pPr>
        <w:widowControl w:val="0"/>
        <w:snapToGrid w:val="0"/>
        <w:spacing w:before="56" w:after="56" w:line="360" w:lineRule="auto"/>
        <w:ind w:right="85"/>
        <w:jc w:val="left"/>
        <w:textAlignment w:val="top"/>
        <w:rPr>
          <w:color w:val="auto"/>
          <w:sz w:val="24"/>
          <w:szCs w:val="24"/>
          <w:highlight w:val="none"/>
        </w:rPr>
      </w:pPr>
      <w:r>
        <w:rPr>
          <w:rFonts w:hint="eastAsia"/>
          <w:color w:val="auto"/>
          <w:sz w:val="24"/>
          <w:szCs w:val="24"/>
          <w:highlight w:val="none"/>
        </w:rPr>
        <w:t>合同编号：</w:t>
      </w:r>
    </w:p>
    <w:p w14:paraId="44D9DA31">
      <w:pPr>
        <w:widowControl w:val="0"/>
        <w:snapToGrid w:val="0"/>
        <w:spacing w:before="56" w:after="56" w:line="360" w:lineRule="auto"/>
        <w:ind w:right="85"/>
        <w:jc w:val="left"/>
        <w:textAlignment w:val="top"/>
        <w:rPr>
          <w:color w:val="auto"/>
          <w:sz w:val="24"/>
          <w:szCs w:val="24"/>
          <w:highlight w:val="none"/>
        </w:rPr>
      </w:pPr>
      <w:r>
        <w:rPr>
          <w:rFonts w:hint="eastAsia"/>
          <w:color w:val="auto"/>
          <w:sz w:val="24"/>
          <w:szCs w:val="24"/>
          <w:highlight w:val="none"/>
        </w:rPr>
        <w:t>甲方：（采购人）</w:t>
      </w:r>
    </w:p>
    <w:p w14:paraId="161672F9">
      <w:pPr>
        <w:widowControl w:val="0"/>
        <w:snapToGrid w:val="0"/>
        <w:spacing w:before="56" w:after="56" w:line="360" w:lineRule="auto"/>
        <w:ind w:right="85"/>
        <w:jc w:val="left"/>
        <w:textAlignment w:val="top"/>
        <w:rPr>
          <w:color w:val="auto"/>
          <w:sz w:val="24"/>
          <w:szCs w:val="24"/>
          <w:highlight w:val="none"/>
        </w:rPr>
      </w:pPr>
      <w:r>
        <w:rPr>
          <w:rFonts w:hint="eastAsia"/>
          <w:color w:val="auto"/>
          <w:sz w:val="24"/>
          <w:szCs w:val="24"/>
          <w:highlight w:val="none"/>
        </w:rPr>
        <w:t>乙方：（供应商）</w:t>
      </w:r>
    </w:p>
    <w:p w14:paraId="28D1E048">
      <w:pPr>
        <w:widowControl w:val="0"/>
        <w:snapToGrid w:val="0"/>
        <w:spacing w:line="360" w:lineRule="auto"/>
        <w:ind w:right="85" w:firstLine="460" w:firstLineChars="192"/>
        <w:rPr>
          <w:color w:val="auto"/>
          <w:spacing w:val="20"/>
          <w:sz w:val="24"/>
          <w:szCs w:val="24"/>
          <w:highlight w:val="none"/>
        </w:rPr>
      </w:pPr>
      <w:r>
        <w:rPr>
          <w:rFonts w:hint="eastAsia"/>
          <w:color w:val="auto"/>
          <w:sz w:val="24"/>
          <w:szCs w:val="24"/>
          <w:highlight w:val="none"/>
        </w:rPr>
        <w:t>甲、乙双方持安阳市方正招标采购服务有限责任公司</w:t>
      </w:r>
      <w:r>
        <w:rPr>
          <w:color w:val="auto"/>
          <w:sz w:val="24"/>
          <w:szCs w:val="24"/>
          <w:highlight w:val="none"/>
        </w:rPr>
        <w:t>20</w:t>
      </w:r>
      <w:r>
        <w:rPr>
          <w:rFonts w:hint="eastAsia"/>
          <w:color w:val="auto"/>
          <w:sz w:val="24"/>
          <w:szCs w:val="24"/>
          <w:highlight w:val="none"/>
        </w:rPr>
        <w:t>26年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日签发的</w:t>
      </w:r>
      <w:r>
        <w:rPr>
          <w:rFonts w:hint="eastAsia"/>
          <w:color w:val="auto"/>
          <w:sz w:val="24"/>
          <w:szCs w:val="24"/>
          <w:highlight w:val="none"/>
          <w:u w:val="single"/>
        </w:rPr>
        <w:t>（采购人及项目名称）</w:t>
      </w:r>
      <w:r>
        <w:rPr>
          <w:rFonts w:hint="eastAsia"/>
          <w:color w:val="auto"/>
          <w:sz w:val="24"/>
          <w:szCs w:val="24"/>
          <w:highlight w:val="none"/>
        </w:rPr>
        <w:t>〔项目编号：</w:t>
      </w:r>
      <w:r>
        <w:rPr>
          <w:color w:val="auto"/>
          <w:sz w:val="24"/>
          <w:szCs w:val="24"/>
          <w:highlight w:val="none"/>
        </w:rPr>
        <w:t xml:space="preserve">      </w:t>
      </w:r>
      <w:r>
        <w:rPr>
          <w:rFonts w:hint="eastAsia"/>
          <w:color w:val="auto"/>
          <w:sz w:val="24"/>
          <w:szCs w:val="24"/>
          <w:highlight w:val="none"/>
        </w:rPr>
        <w:t>〕成交通知书，根据采购文件</w:t>
      </w:r>
      <w:r>
        <w:rPr>
          <w:rFonts w:hint="eastAsia"/>
          <w:color w:val="auto"/>
          <w:spacing w:val="20"/>
          <w:sz w:val="24"/>
          <w:szCs w:val="24"/>
          <w:highlight w:val="none"/>
        </w:rPr>
        <w:t>及其修改补充澄清、投标文件及其修改补充澄清的内容，经双方平等协商一致，达成以下合同条款：</w:t>
      </w:r>
    </w:p>
    <w:p w14:paraId="72366CC4">
      <w:pPr>
        <w:widowControl w:val="0"/>
        <w:snapToGrid w:val="0"/>
        <w:spacing w:line="360" w:lineRule="auto"/>
        <w:ind w:right="85" w:firstLine="460" w:firstLineChars="192"/>
        <w:rPr>
          <w:color w:val="auto"/>
          <w:sz w:val="24"/>
          <w:szCs w:val="24"/>
          <w:highlight w:val="none"/>
        </w:rPr>
      </w:pPr>
      <w:r>
        <w:rPr>
          <w:rFonts w:hint="eastAsia"/>
          <w:color w:val="auto"/>
          <w:sz w:val="24"/>
          <w:szCs w:val="24"/>
          <w:highlight w:val="none"/>
        </w:rPr>
        <w:t>一、本合同所指服务为此次竞争性谈判的服务，包括</w:t>
      </w:r>
      <w:r>
        <w:rPr>
          <w:rFonts w:hint="eastAsia"/>
          <w:color w:val="auto"/>
          <w:sz w:val="24"/>
          <w:szCs w:val="24"/>
          <w:highlight w:val="none"/>
          <w:u w:val="single"/>
        </w:rPr>
        <w:t>（详细注明内容）</w:t>
      </w:r>
      <w:r>
        <w:rPr>
          <w:rFonts w:hint="eastAsia"/>
          <w:color w:val="auto"/>
          <w:sz w:val="24"/>
          <w:szCs w:val="24"/>
          <w:highlight w:val="none"/>
        </w:rPr>
        <w:t>，合同总价款为元（大写：</w:t>
      </w:r>
      <w:r>
        <w:rPr>
          <w:color w:val="auto"/>
          <w:sz w:val="24"/>
          <w:szCs w:val="24"/>
          <w:highlight w:val="none"/>
        </w:rPr>
        <w:t xml:space="preserve">                 </w:t>
      </w:r>
      <w:r>
        <w:rPr>
          <w:rFonts w:hint="eastAsia"/>
          <w:color w:val="auto"/>
          <w:sz w:val="24"/>
          <w:szCs w:val="24"/>
          <w:highlight w:val="none"/>
        </w:rPr>
        <w:t>）。</w:t>
      </w:r>
    </w:p>
    <w:p w14:paraId="374289D6">
      <w:pPr>
        <w:widowControl w:val="0"/>
        <w:snapToGrid w:val="0"/>
        <w:spacing w:line="360" w:lineRule="auto"/>
        <w:ind w:right="85" w:firstLine="537" w:firstLineChars="192"/>
        <w:rPr>
          <w:color w:val="auto"/>
          <w:sz w:val="24"/>
          <w:szCs w:val="24"/>
          <w:highlight w:val="none"/>
        </w:rPr>
      </w:pPr>
      <w:r>
        <w:rPr>
          <w:rFonts w:hint="eastAsia"/>
          <w:color w:val="auto"/>
          <w:spacing w:val="20"/>
          <w:sz w:val="24"/>
          <w:szCs w:val="24"/>
          <w:highlight w:val="none"/>
        </w:rPr>
        <w:t>本合同为固定总价合同，不因人工、费用、材料和设备等价格的波动而影响合同价格。</w:t>
      </w:r>
    </w:p>
    <w:p w14:paraId="08DD0BF0">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二、服务质量要求及乙方对质量负责条件和期限：</w:t>
      </w:r>
    </w:p>
    <w:p w14:paraId="44A2EDAF">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按国家及行业标准、采购文件及投标文件等相应条款制订</w:t>
      </w:r>
    </w:p>
    <w:p w14:paraId="4B9797AC">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三、服务时间、地点、方式：</w:t>
      </w:r>
    </w:p>
    <w:p w14:paraId="51F95489">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按国家及行业标准、采购文件及投标文件等相应条款制订</w:t>
      </w:r>
    </w:p>
    <w:p w14:paraId="22F1E9DE">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四、验收程序和要求</w:t>
      </w:r>
    </w:p>
    <w:p w14:paraId="45B35AEA">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、验收时间：项目具备验收条件时，由采购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24C63172">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、验收工作组：合同履约验收工作应成立验收工作组专门负责。</w:t>
      </w:r>
    </w:p>
    <w:p w14:paraId="06494D6E">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5CFCC340">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19B9D52B">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385081B6">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75DCFD98">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4</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3AE9DC9F">
      <w:pPr>
        <w:widowControl w:val="0"/>
        <w:snapToGrid w:val="0"/>
        <w:spacing w:before="56" w:after="56" w:line="360" w:lineRule="auto"/>
        <w:ind w:right="85" w:firstLine="555"/>
        <w:rPr>
          <w:color w:val="auto"/>
          <w:sz w:val="24"/>
          <w:szCs w:val="24"/>
          <w:highlight w:val="none"/>
        </w:rPr>
      </w:pP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51447867">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五、履约保证金：</w:t>
      </w:r>
      <w:r>
        <w:rPr>
          <w:rFonts w:hint="eastAsia"/>
          <w:color w:val="auto"/>
          <w:sz w:val="24"/>
          <w:szCs w:val="24"/>
          <w:highlight w:val="none"/>
          <w:u w:val="single"/>
        </w:rPr>
        <w:t xml:space="preserve">                                                   </w:t>
      </w:r>
      <w:r>
        <w:rPr>
          <w:rFonts w:hint="eastAsia"/>
          <w:color w:val="auto"/>
          <w:sz w:val="24"/>
          <w:szCs w:val="24"/>
          <w:highlight w:val="none"/>
        </w:rPr>
        <w:t>。</w:t>
      </w:r>
    </w:p>
    <w:p w14:paraId="7EBE8703">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六、付款程序：按投标人须知相关条款编列。</w:t>
      </w:r>
    </w:p>
    <w:p w14:paraId="39326C55">
      <w:pPr>
        <w:widowControl w:val="0"/>
        <w:snapToGrid w:val="0"/>
        <w:spacing w:before="56" w:after="56" w:line="360" w:lineRule="auto"/>
        <w:ind w:right="85" w:firstLine="555"/>
        <w:rPr>
          <w:color w:val="auto"/>
          <w:sz w:val="24"/>
          <w:szCs w:val="24"/>
          <w:highlight w:val="none"/>
        </w:rPr>
      </w:pPr>
      <w:r>
        <w:rPr>
          <w:rFonts w:hint="eastAsia" w:ascii="宋体" w:hAnsi="宋体"/>
          <w:color w:val="auto"/>
          <w:sz w:val="24"/>
          <w:szCs w:val="24"/>
          <w:highlight w:val="none"/>
        </w:rPr>
        <w:t>七、合同遵行《保障中小企业款项支付条例》。</w:t>
      </w:r>
    </w:p>
    <w:p w14:paraId="6BEA92A1">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八、责任和义务</w:t>
      </w:r>
    </w:p>
    <w:p w14:paraId="109E4BD7">
      <w:pPr>
        <w:widowControl w:val="0"/>
        <w:snapToGrid w:val="0"/>
        <w:spacing w:before="56" w:after="56" w:line="360" w:lineRule="auto"/>
        <w:ind w:right="85" w:firstLine="555"/>
        <w:rPr>
          <w:color w:val="auto"/>
          <w:sz w:val="24"/>
          <w:szCs w:val="24"/>
          <w:highlight w:val="none"/>
        </w:rPr>
      </w:pPr>
      <w:r>
        <w:rPr>
          <w:color w:val="auto"/>
          <w:sz w:val="24"/>
          <w:szCs w:val="24"/>
          <w:highlight w:val="none"/>
        </w:rPr>
        <w:t>1</w:t>
      </w:r>
      <w:r>
        <w:rPr>
          <w:rFonts w:hint="eastAsia"/>
          <w:color w:val="auto"/>
          <w:sz w:val="24"/>
          <w:szCs w:val="24"/>
          <w:highlight w:val="none"/>
        </w:rPr>
        <w:t>、甲方的责任和义务</w:t>
      </w:r>
    </w:p>
    <w:p w14:paraId="7700ACDC">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）对乙方给予必要的协助。</w:t>
      </w:r>
    </w:p>
    <w:p w14:paraId="479696ED">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）按时验收、及时支付资金；</w:t>
      </w:r>
    </w:p>
    <w:p w14:paraId="55E7DFC6">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）遵守国家法律法规，不得要求乙方虚开发票，不得向乙方索要“好处”、“回扣”、“礼品”，或要求乙方提供合同以外的其他物品或服务；</w:t>
      </w:r>
    </w:p>
    <w:p w14:paraId="2A92769C">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）对乙方未按合同约定履约在验收报告中注明违约情形和事项，并应及时通知财政部门。违反相关法规的向相关行政执法部门举报。</w:t>
      </w:r>
    </w:p>
    <w:p w14:paraId="728165E9">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5</w:t>
      </w:r>
      <w:r>
        <w:rPr>
          <w:rFonts w:hint="eastAsia"/>
          <w:color w:val="auto"/>
          <w:sz w:val="24"/>
          <w:szCs w:val="24"/>
          <w:highlight w:val="none"/>
        </w:rPr>
        <w:t>）其他法律法规规定应尽的义务。</w:t>
      </w:r>
    </w:p>
    <w:p w14:paraId="37F4C50F">
      <w:pPr>
        <w:widowControl w:val="0"/>
        <w:snapToGrid w:val="0"/>
        <w:spacing w:before="56" w:after="56" w:line="360" w:lineRule="auto"/>
        <w:ind w:right="85" w:firstLine="555"/>
        <w:rPr>
          <w:color w:val="auto"/>
          <w:sz w:val="24"/>
          <w:szCs w:val="24"/>
          <w:highlight w:val="none"/>
        </w:rPr>
      </w:pPr>
      <w:r>
        <w:rPr>
          <w:color w:val="auto"/>
          <w:sz w:val="24"/>
          <w:szCs w:val="24"/>
          <w:highlight w:val="none"/>
        </w:rPr>
        <w:t>2</w:t>
      </w:r>
      <w:r>
        <w:rPr>
          <w:rFonts w:hint="eastAsia"/>
          <w:color w:val="auto"/>
          <w:sz w:val="24"/>
          <w:szCs w:val="24"/>
          <w:highlight w:val="none"/>
        </w:rPr>
        <w:t>、乙方的责任和义务</w:t>
      </w:r>
    </w:p>
    <w:p w14:paraId="572628BC">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）严格按采购文件要求与投标文件的质量及服务承诺执行，保质、按期履行。</w:t>
      </w:r>
    </w:p>
    <w:p w14:paraId="4132CA56">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）不得将合同权利义务全部或部分转让给第三人。</w:t>
      </w:r>
    </w:p>
    <w:p w14:paraId="5CD72277">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）验收合格前，对货物和人员的安全负责，应采取安全措施，确保人员、材料、设备和设施的安全，防止货物验收合格前的人身伤害和财产损失；应对其履行合同所雇佣的全部人员的工伤事故承担责任。</w:t>
      </w:r>
    </w:p>
    <w:p w14:paraId="6D484620">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）遵守法律、依法纳税</w:t>
      </w:r>
    </w:p>
    <w:p w14:paraId="67632DC7">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5</w:t>
      </w:r>
      <w:r>
        <w:rPr>
          <w:rFonts w:hint="eastAsia"/>
          <w:color w:val="auto"/>
          <w:sz w:val="24"/>
          <w:szCs w:val="24"/>
          <w:highlight w:val="none"/>
        </w:rPr>
        <w:t>）遵守职业道德和行业规范，坚决杜绝送礼、回扣、报销费用等一切不正当竞争行为和商业贿赂行为；对甲方索要回扣、礼品等违规行为，向同级财政局政府采购监督管理科及相关执法机关举报。</w:t>
      </w:r>
    </w:p>
    <w:p w14:paraId="36E7EF89">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6</w:t>
      </w:r>
      <w:r>
        <w:rPr>
          <w:rFonts w:hint="eastAsia"/>
          <w:color w:val="auto"/>
          <w:sz w:val="24"/>
          <w:szCs w:val="24"/>
          <w:highlight w:val="none"/>
        </w:rPr>
        <w:t>）其他法律法规规定应尽的义务。</w:t>
      </w:r>
    </w:p>
    <w:p w14:paraId="7BECCBEB">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九、违约责任：</w:t>
      </w:r>
    </w:p>
    <w:p w14:paraId="57A20860">
      <w:pPr>
        <w:widowControl w:val="0"/>
        <w:snapToGrid w:val="0"/>
        <w:spacing w:before="56" w:after="56" w:line="360" w:lineRule="auto"/>
        <w:ind w:right="85" w:firstLine="555"/>
        <w:rPr>
          <w:color w:val="auto"/>
          <w:sz w:val="24"/>
          <w:szCs w:val="24"/>
          <w:highlight w:val="none"/>
        </w:rPr>
      </w:pPr>
      <w:r>
        <w:rPr>
          <w:color w:val="auto"/>
          <w:sz w:val="24"/>
          <w:szCs w:val="24"/>
          <w:highlight w:val="none"/>
        </w:rPr>
        <w:t>1</w:t>
      </w:r>
      <w:r>
        <w:rPr>
          <w:rFonts w:hint="eastAsia"/>
          <w:color w:val="auto"/>
          <w:sz w:val="24"/>
          <w:szCs w:val="24"/>
          <w:highlight w:val="none"/>
        </w:rPr>
        <w:t>、甲方无正当理由拒付款项的，向乙方偿付拒收拒付部分款项总额</w:t>
      </w:r>
      <w:r>
        <w:rPr>
          <w:color w:val="auto"/>
          <w:sz w:val="24"/>
          <w:szCs w:val="24"/>
          <w:highlight w:val="none"/>
        </w:rPr>
        <w:t xml:space="preserve">  %</w:t>
      </w:r>
      <w:r>
        <w:rPr>
          <w:rFonts w:hint="eastAsia"/>
          <w:color w:val="auto"/>
          <w:sz w:val="24"/>
          <w:szCs w:val="24"/>
          <w:highlight w:val="none"/>
        </w:rPr>
        <w:t>的违约金。</w:t>
      </w:r>
    </w:p>
    <w:p w14:paraId="224B6518">
      <w:pPr>
        <w:widowControl w:val="0"/>
        <w:snapToGrid w:val="0"/>
        <w:spacing w:before="56" w:after="56" w:line="360" w:lineRule="auto"/>
        <w:ind w:right="85" w:firstLine="555"/>
        <w:rPr>
          <w:color w:val="auto"/>
          <w:sz w:val="24"/>
          <w:szCs w:val="24"/>
          <w:highlight w:val="none"/>
        </w:rPr>
      </w:pPr>
      <w:r>
        <w:rPr>
          <w:color w:val="auto"/>
          <w:sz w:val="24"/>
          <w:szCs w:val="24"/>
          <w:highlight w:val="none"/>
        </w:rPr>
        <w:t>2</w:t>
      </w:r>
      <w:r>
        <w:rPr>
          <w:rFonts w:hint="eastAsia"/>
          <w:color w:val="auto"/>
          <w:sz w:val="24"/>
          <w:szCs w:val="24"/>
          <w:highlight w:val="none"/>
        </w:rPr>
        <w:t>、乙方提供服务不符合合同规定，甲方有权拒付相关款项。</w:t>
      </w:r>
    </w:p>
    <w:p w14:paraId="4B60C370">
      <w:pPr>
        <w:widowControl w:val="0"/>
        <w:snapToGrid w:val="0"/>
        <w:spacing w:before="56" w:after="56" w:line="360" w:lineRule="auto"/>
        <w:ind w:right="85" w:firstLine="555"/>
        <w:rPr>
          <w:color w:val="auto"/>
          <w:sz w:val="24"/>
          <w:szCs w:val="24"/>
          <w:highlight w:val="none"/>
        </w:rPr>
      </w:pPr>
      <w:r>
        <w:rPr>
          <w:color w:val="auto"/>
          <w:sz w:val="24"/>
          <w:szCs w:val="24"/>
          <w:highlight w:val="none"/>
        </w:rPr>
        <w:t>3</w:t>
      </w:r>
      <w:r>
        <w:rPr>
          <w:rFonts w:hint="eastAsia"/>
          <w:color w:val="auto"/>
          <w:sz w:val="24"/>
          <w:szCs w:val="24"/>
          <w:highlight w:val="none"/>
        </w:rPr>
        <w:t>、乙方逾期，乙方向甲方每日偿付</w:t>
      </w:r>
      <w:r>
        <w:rPr>
          <w:color w:val="auto"/>
          <w:sz w:val="24"/>
          <w:szCs w:val="24"/>
          <w:highlight w:val="none"/>
        </w:rPr>
        <w:t xml:space="preserve">     %</w:t>
      </w:r>
      <w:r>
        <w:rPr>
          <w:rFonts w:hint="eastAsia"/>
          <w:color w:val="auto"/>
          <w:sz w:val="24"/>
          <w:szCs w:val="24"/>
          <w:highlight w:val="none"/>
        </w:rPr>
        <w:t>赔偿费。</w:t>
      </w:r>
    </w:p>
    <w:p w14:paraId="77CAADCD">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十、《采购文件》及其修改补充、投标文件及其修改补充澄清均为本合同的组成部分。</w:t>
      </w:r>
    </w:p>
    <w:p w14:paraId="22330196">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十一、本合同发生争议时双方应按合同条款协商解决。双方协商不成的，可以根据仲裁协议向当地仲裁机构申请仲裁。当事人没有订立仲裁协议或者仲裁协议无效的，可以向当地人民法院起诉。</w:t>
      </w:r>
    </w:p>
    <w:p w14:paraId="684209B4">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十二、合同生效及其它：</w:t>
      </w:r>
    </w:p>
    <w:p w14:paraId="74A75346">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本合同经甲乙双方代表签字、加盖公章和骑缝章后生效。本合同一式</w:t>
      </w:r>
      <w:r>
        <w:rPr>
          <w:rFonts w:hint="eastAsia"/>
          <w:color w:val="auto"/>
          <w:sz w:val="24"/>
          <w:szCs w:val="24"/>
          <w:highlight w:val="none"/>
          <w:u w:val="single"/>
        </w:rPr>
        <w:t xml:space="preserve">  </w:t>
      </w:r>
      <w:r>
        <w:rPr>
          <w:rFonts w:hint="eastAsia"/>
          <w:color w:val="auto"/>
          <w:sz w:val="24"/>
          <w:szCs w:val="24"/>
          <w:highlight w:val="none"/>
        </w:rPr>
        <w:t>份，甲乙双方各持</w:t>
      </w:r>
      <w:r>
        <w:rPr>
          <w:rFonts w:hint="eastAsia"/>
          <w:color w:val="auto"/>
          <w:sz w:val="24"/>
          <w:szCs w:val="24"/>
          <w:highlight w:val="none"/>
          <w:u w:val="single"/>
        </w:rPr>
        <w:t xml:space="preserve">   </w:t>
      </w:r>
      <w:r>
        <w:rPr>
          <w:rFonts w:hint="eastAsia"/>
          <w:color w:val="auto"/>
          <w:sz w:val="24"/>
          <w:szCs w:val="24"/>
          <w:highlight w:val="none"/>
        </w:rPr>
        <w:t>份。</w:t>
      </w:r>
    </w:p>
    <w:p w14:paraId="7A8BBBF8">
      <w:pPr>
        <w:widowControl w:val="0"/>
        <w:adjustRightInd w:val="0"/>
        <w:snapToGrid w:val="0"/>
        <w:spacing w:before="156" w:beforeLines="50" w:line="300" w:lineRule="auto"/>
        <w:ind w:firstLine="566"/>
        <w:rPr>
          <w:rFonts w:ascii="宋体" w:hAnsi="宋体"/>
          <w:color w:val="auto"/>
          <w:sz w:val="24"/>
          <w:szCs w:val="24"/>
          <w:highlight w:val="none"/>
        </w:rPr>
      </w:pPr>
      <w:r>
        <w:rPr>
          <w:rFonts w:hint="eastAsia" w:ascii="宋体" w:hAnsi="宋体"/>
          <w:color w:val="auto"/>
          <w:sz w:val="24"/>
          <w:szCs w:val="24"/>
          <w:highlight w:val="none"/>
        </w:rPr>
        <w:t>甲方要在合同签订后1个工作日内登陆安阳市政府采购网进行备案并公告。</w:t>
      </w:r>
    </w:p>
    <w:p w14:paraId="6D568132">
      <w:pPr>
        <w:widowControl w:val="0"/>
        <w:adjustRightInd w:val="0"/>
        <w:snapToGrid w:val="0"/>
        <w:spacing w:before="156" w:beforeLines="50" w:line="300" w:lineRule="auto"/>
        <w:ind w:firstLine="566"/>
        <w:rPr>
          <w:color w:val="auto"/>
          <w:sz w:val="24"/>
          <w:szCs w:val="24"/>
          <w:highlight w:val="none"/>
        </w:rPr>
      </w:pPr>
    </w:p>
    <w:p w14:paraId="10AA3C43">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甲方：</w:t>
      </w:r>
      <w:r>
        <w:rPr>
          <w:color w:val="auto"/>
          <w:sz w:val="24"/>
          <w:szCs w:val="24"/>
          <w:highlight w:val="none"/>
        </w:rPr>
        <w:tab/>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乙方：</w:t>
      </w:r>
    </w:p>
    <w:p w14:paraId="3B62C2A5">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地址：</w:t>
      </w:r>
      <w:r>
        <w:rPr>
          <w:color w:val="auto"/>
          <w:sz w:val="24"/>
          <w:szCs w:val="24"/>
          <w:highlight w:val="none"/>
        </w:rPr>
        <w:tab/>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地址：</w:t>
      </w:r>
    </w:p>
    <w:p w14:paraId="1245D072">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法定代表人：</w:t>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法定代表人：</w:t>
      </w:r>
    </w:p>
    <w:p w14:paraId="36F5071E">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委托代理人：</w:t>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委托代理人：</w:t>
      </w:r>
    </w:p>
    <w:p w14:paraId="6574718E">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电话：</w:t>
      </w:r>
      <w:r>
        <w:rPr>
          <w:color w:val="auto"/>
          <w:sz w:val="24"/>
          <w:szCs w:val="24"/>
          <w:highlight w:val="none"/>
        </w:rPr>
        <w:tab/>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电话：</w:t>
      </w:r>
    </w:p>
    <w:p w14:paraId="65BCA7AC">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开户银行：</w:t>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开户银行：</w:t>
      </w:r>
    </w:p>
    <w:p w14:paraId="4B101F8B">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银行账号：</w:t>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银行账号：</w:t>
      </w:r>
    </w:p>
    <w:p w14:paraId="1ADAB842">
      <w:pPr>
        <w:widowControl w:val="0"/>
        <w:snapToGrid w:val="0"/>
        <w:spacing w:before="56" w:after="56" w:line="360" w:lineRule="auto"/>
        <w:ind w:right="85" w:firstLine="555"/>
        <w:rPr>
          <w:color w:val="auto"/>
          <w:sz w:val="24"/>
          <w:szCs w:val="24"/>
          <w:highlight w:val="none"/>
        </w:rPr>
      </w:pPr>
    </w:p>
    <w:p w14:paraId="2F719244">
      <w:pPr>
        <w:widowControl w:val="0"/>
        <w:tabs>
          <w:tab w:val="left" w:pos="4678"/>
        </w:tabs>
        <w:snapToGrid w:val="0"/>
        <w:spacing w:before="56" w:after="56" w:line="360" w:lineRule="auto"/>
        <w:ind w:right="85" w:firstLine="555"/>
        <w:rPr>
          <w:color w:val="auto"/>
          <w:sz w:val="24"/>
          <w:szCs w:val="24"/>
          <w:highlight w:val="none"/>
        </w:rPr>
      </w:pPr>
      <w:r>
        <w:rPr>
          <w:rFonts w:hint="eastAsia"/>
          <w:color w:val="auto"/>
          <w:sz w:val="24"/>
          <w:szCs w:val="24"/>
          <w:highlight w:val="none"/>
        </w:rPr>
        <w:t>签约时间：</w:t>
      </w:r>
      <w:r>
        <w:rPr>
          <w:color w:val="auto"/>
          <w:sz w:val="24"/>
          <w:szCs w:val="24"/>
          <w:highlight w:val="none"/>
        </w:rPr>
        <w:t xml:space="preserve">          </w:t>
      </w:r>
      <w:r>
        <w:rPr>
          <w:rFonts w:hint="eastAsia"/>
          <w:color w:val="auto"/>
          <w:sz w:val="24"/>
          <w:szCs w:val="24"/>
          <w:highlight w:val="none"/>
        </w:rPr>
        <w:t>签约地点：</w:t>
      </w:r>
    </w:p>
    <w:p w14:paraId="2EA1FD8D">
      <w:pPr>
        <w:spacing w:line="240" w:lineRule="auto"/>
        <w:jc w:val="left"/>
        <w:textAlignment w:val="auto"/>
        <w:rPr>
          <w:rFonts w:ascii="宋体"/>
          <w:b/>
          <w:color w:val="auto"/>
          <w:sz w:val="36"/>
          <w:szCs w:val="36"/>
          <w:highlight w:val="none"/>
        </w:rPr>
      </w:pPr>
    </w:p>
    <w:p w14:paraId="3966255D">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51" w:name="_Toc206599140"/>
      <w:r>
        <w:rPr>
          <w:rFonts w:hint="eastAsia" w:ascii="黑体" w:hAnsi="黑体" w:eastAsia="黑体" w:cs="楷体_GB2312"/>
          <w:b/>
          <w:bCs/>
          <w:color w:val="auto"/>
          <w:sz w:val="28"/>
          <w:szCs w:val="28"/>
          <w:highlight w:val="none"/>
          <w:lang w:val="zh-CN"/>
        </w:rPr>
        <w:t>河南省政府采购合同融资政策告知函</w:t>
      </w:r>
      <w:bookmarkEnd w:id="51"/>
    </w:p>
    <w:p w14:paraId="4E425A72">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各供应商：</w:t>
      </w:r>
    </w:p>
    <w:p w14:paraId="161E27D7">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欢迎贵公司参与河南省政府采购活动！</w:t>
      </w:r>
    </w:p>
    <w:p w14:paraId="12D187B6">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8B9D8D0">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贷款渠道和提供贷款的金融机构，可在河南省政府采购网“河南省政府采购合同融资平台”查询联系。</w:t>
      </w:r>
    </w:p>
    <w:p w14:paraId="5C882990">
      <w:pPr>
        <w:spacing w:line="240" w:lineRule="auto"/>
        <w:jc w:val="left"/>
        <w:textAlignment w:val="auto"/>
        <w:rPr>
          <w:rFonts w:ascii="宋体"/>
          <w:b/>
          <w:color w:val="auto"/>
          <w:sz w:val="36"/>
          <w:szCs w:val="36"/>
          <w:highlight w:val="none"/>
        </w:rPr>
      </w:pPr>
      <w:r>
        <w:rPr>
          <w:rFonts w:ascii="宋体"/>
          <w:b/>
          <w:color w:val="auto"/>
          <w:sz w:val="36"/>
          <w:szCs w:val="36"/>
          <w:highlight w:val="none"/>
        </w:rPr>
        <w:br w:type="page"/>
      </w:r>
    </w:p>
    <w:p w14:paraId="6B46A0E5">
      <w:pPr>
        <w:autoSpaceDE w:val="0"/>
        <w:autoSpaceDN w:val="0"/>
        <w:adjustRightInd w:val="0"/>
        <w:spacing w:line="360" w:lineRule="auto"/>
        <w:jc w:val="center"/>
        <w:outlineLvl w:val="0"/>
        <w:rPr>
          <w:rFonts w:ascii="黑体" w:hAnsi="黑体" w:eastAsia="黑体"/>
          <w:b/>
          <w:color w:val="auto"/>
          <w:sz w:val="36"/>
          <w:szCs w:val="36"/>
          <w:highlight w:val="none"/>
          <w:lang w:val="zh-CN"/>
        </w:rPr>
      </w:pPr>
      <w:bookmarkStart w:id="52" w:name="_Toc206599141"/>
      <w:r>
        <w:rPr>
          <w:rFonts w:hint="eastAsia" w:ascii="黑体" w:hAnsi="黑体" w:eastAsia="黑体"/>
          <w:b/>
          <w:color w:val="auto"/>
          <w:sz w:val="36"/>
          <w:szCs w:val="36"/>
          <w:highlight w:val="none"/>
          <w:lang w:val="zh-CN"/>
        </w:rPr>
        <w:t>第六章 投标文件格式</w:t>
      </w:r>
      <w:bookmarkEnd w:id="52"/>
    </w:p>
    <w:p w14:paraId="316563D1">
      <w:pPr>
        <w:autoSpaceDE w:val="0"/>
        <w:autoSpaceDN w:val="0"/>
        <w:adjustRightInd w:val="0"/>
        <w:spacing w:line="276" w:lineRule="auto"/>
        <w:ind w:firstLine="514" w:firstLineChars="245"/>
        <w:jc w:val="left"/>
        <w:rPr>
          <w:rFonts w:ascii="宋体"/>
          <w:color w:val="auto"/>
          <w:sz w:val="36"/>
          <w:szCs w:val="36"/>
          <w:highlight w:val="none"/>
          <w:lang w:val="zh-CN"/>
        </w:rPr>
      </w:pPr>
      <w:r>
        <w:rPr>
          <w:rFonts w:hint="eastAsia" w:ascii="宋体" w:hAnsi="宋体"/>
          <w:color w:val="auto"/>
          <w:szCs w:val="21"/>
          <w:highlight w:val="none"/>
          <w:lang w:val="zh-CN"/>
        </w:rPr>
        <w:t>投标人应按“投标人须知</w:t>
      </w:r>
      <w:r>
        <w:rPr>
          <w:rFonts w:ascii="宋体"/>
          <w:color w:val="auto"/>
          <w:szCs w:val="21"/>
          <w:highlight w:val="none"/>
          <w:lang w:val="zh-CN"/>
        </w:rPr>
        <w:t>--</w:t>
      </w:r>
      <w:r>
        <w:rPr>
          <w:rFonts w:hint="eastAsia" w:ascii="宋体" w:hAnsi="宋体"/>
          <w:color w:val="auto"/>
          <w:szCs w:val="21"/>
          <w:highlight w:val="none"/>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highlight w:val="none"/>
          <w:lang w:val="zh-CN"/>
        </w:rPr>
        <w:t>。</w:t>
      </w:r>
    </w:p>
    <w:p w14:paraId="588C147D">
      <w:pPr>
        <w:autoSpaceDE w:val="0"/>
        <w:autoSpaceDN w:val="0"/>
        <w:adjustRightInd w:val="0"/>
        <w:spacing w:line="276" w:lineRule="auto"/>
        <w:ind w:firstLine="882" w:firstLineChars="245"/>
        <w:jc w:val="left"/>
        <w:rPr>
          <w:rFonts w:ascii="宋体"/>
          <w:color w:val="auto"/>
          <w:sz w:val="36"/>
          <w:szCs w:val="36"/>
          <w:highlight w:val="none"/>
          <w:lang w:val="zh-CN"/>
        </w:rPr>
      </w:pPr>
    </w:p>
    <w:p w14:paraId="750DCC34">
      <w:pPr>
        <w:autoSpaceDE w:val="0"/>
        <w:autoSpaceDN w:val="0"/>
        <w:adjustRightInd w:val="0"/>
        <w:spacing w:line="360" w:lineRule="auto"/>
        <w:ind w:right="-817"/>
        <w:rPr>
          <w:rFonts w:ascii="宋体"/>
          <w:color w:val="auto"/>
          <w:sz w:val="24"/>
          <w:highlight w:val="none"/>
          <w:u w:val="single"/>
        </w:rPr>
      </w:pPr>
    </w:p>
    <w:p w14:paraId="5C0AB1F7">
      <w:pPr>
        <w:autoSpaceDE w:val="0"/>
        <w:autoSpaceDN w:val="0"/>
        <w:adjustRightInd w:val="0"/>
        <w:spacing w:line="360" w:lineRule="auto"/>
        <w:ind w:firstLine="480" w:firstLineChars="200"/>
        <w:jc w:val="left"/>
        <w:rPr>
          <w:rFonts w:ascii="宋体"/>
          <w:color w:val="auto"/>
          <w:sz w:val="24"/>
          <w:highlight w:val="none"/>
          <w:u w:val="single"/>
        </w:rPr>
      </w:pPr>
    </w:p>
    <w:p w14:paraId="55E69FE5">
      <w:pPr>
        <w:autoSpaceDE w:val="0"/>
        <w:autoSpaceDN w:val="0"/>
        <w:adjustRightInd w:val="0"/>
        <w:spacing w:line="360" w:lineRule="auto"/>
        <w:jc w:val="left"/>
        <w:rPr>
          <w:rFonts w:ascii="宋体"/>
          <w:color w:val="auto"/>
          <w:sz w:val="44"/>
          <w:szCs w:val="44"/>
          <w:highlight w:val="none"/>
          <w:u w:val="single"/>
        </w:rPr>
      </w:pPr>
      <w:r>
        <w:rPr>
          <w:rFonts w:hint="eastAsia" w:ascii="宋体" w:hAnsi="宋体"/>
          <w:color w:val="auto"/>
          <w:sz w:val="44"/>
          <w:szCs w:val="44"/>
          <w:highlight w:val="none"/>
        </w:rPr>
        <w:t>项目名称：</w:t>
      </w:r>
      <w:r>
        <w:rPr>
          <w:rFonts w:ascii="宋体" w:hAnsi="宋体"/>
          <w:color w:val="auto"/>
          <w:sz w:val="44"/>
          <w:szCs w:val="44"/>
          <w:highlight w:val="none"/>
          <w:u w:val="single"/>
        </w:rPr>
        <w:t xml:space="preserve">                                 </w:t>
      </w:r>
    </w:p>
    <w:p w14:paraId="31BE0642">
      <w:pPr>
        <w:autoSpaceDE w:val="0"/>
        <w:autoSpaceDN w:val="0"/>
        <w:adjustRightInd w:val="0"/>
        <w:spacing w:line="360" w:lineRule="auto"/>
        <w:jc w:val="left"/>
        <w:rPr>
          <w:rFonts w:ascii="宋体"/>
          <w:color w:val="auto"/>
          <w:sz w:val="24"/>
          <w:highlight w:val="none"/>
        </w:rPr>
      </w:pPr>
      <w:r>
        <w:rPr>
          <w:rFonts w:hint="eastAsia" w:ascii="宋体" w:hAnsi="宋体"/>
          <w:color w:val="auto"/>
          <w:sz w:val="44"/>
          <w:szCs w:val="44"/>
          <w:highlight w:val="none"/>
        </w:rPr>
        <w:t>项目编号：</w:t>
      </w:r>
      <w:r>
        <w:rPr>
          <w:rFonts w:ascii="宋体" w:hAnsi="宋体"/>
          <w:color w:val="auto"/>
          <w:sz w:val="44"/>
          <w:szCs w:val="44"/>
          <w:highlight w:val="none"/>
          <w:u w:val="single"/>
        </w:rPr>
        <w:t xml:space="preserve">                                 </w:t>
      </w:r>
    </w:p>
    <w:p w14:paraId="0BEE569D">
      <w:pPr>
        <w:autoSpaceDE w:val="0"/>
        <w:autoSpaceDN w:val="0"/>
        <w:adjustRightInd w:val="0"/>
        <w:spacing w:line="360" w:lineRule="auto"/>
        <w:jc w:val="left"/>
        <w:rPr>
          <w:rFonts w:ascii="宋体"/>
          <w:color w:val="auto"/>
          <w:sz w:val="84"/>
          <w:szCs w:val="84"/>
          <w:highlight w:val="none"/>
        </w:rPr>
      </w:pPr>
    </w:p>
    <w:p w14:paraId="12EAEE7E">
      <w:pPr>
        <w:autoSpaceDE w:val="0"/>
        <w:autoSpaceDN w:val="0"/>
        <w:adjustRightInd w:val="0"/>
        <w:spacing w:line="360" w:lineRule="auto"/>
        <w:jc w:val="center"/>
        <w:rPr>
          <w:rFonts w:ascii="黑体" w:hAnsi="黑体" w:eastAsia="黑体"/>
          <w:b/>
          <w:color w:val="auto"/>
          <w:spacing w:val="60"/>
          <w:sz w:val="84"/>
          <w:szCs w:val="84"/>
          <w:highlight w:val="none"/>
        </w:rPr>
      </w:pPr>
      <w:r>
        <w:rPr>
          <w:rFonts w:hint="eastAsia" w:ascii="黑体" w:hAnsi="黑体" w:eastAsia="黑体"/>
          <w:b/>
          <w:color w:val="auto"/>
          <w:spacing w:val="60"/>
          <w:sz w:val="84"/>
          <w:szCs w:val="84"/>
          <w:highlight w:val="none"/>
        </w:rPr>
        <w:t>投</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标</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文</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件</w:t>
      </w:r>
    </w:p>
    <w:p w14:paraId="142C7FAB">
      <w:pPr>
        <w:autoSpaceDE w:val="0"/>
        <w:autoSpaceDN w:val="0"/>
        <w:adjustRightInd w:val="0"/>
        <w:spacing w:line="360" w:lineRule="auto"/>
        <w:jc w:val="center"/>
        <w:rPr>
          <w:rFonts w:ascii="宋体"/>
          <w:color w:val="auto"/>
          <w:sz w:val="24"/>
          <w:highlight w:val="none"/>
        </w:rPr>
      </w:pPr>
    </w:p>
    <w:p w14:paraId="6A4E454E">
      <w:pPr>
        <w:autoSpaceDE w:val="0"/>
        <w:autoSpaceDN w:val="0"/>
        <w:adjustRightInd w:val="0"/>
        <w:spacing w:line="360" w:lineRule="auto"/>
        <w:jc w:val="center"/>
        <w:rPr>
          <w:rFonts w:ascii="宋体"/>
          <w:color w:val="auto"/>
          <w:sz w:val="24"/>
          <w:highlight w:val="none"/>
        </w:rPr>
      </w:pPr>
    </w:p>
    <w:p w14:paraId="7C493339">
      <w:pPr>
        <w:autoSpaceDE w:val="0"/>
        <w:autoSpaceDN w:val="0"/>
        <w:adjustRightInd w:val="0"/>
        <w:spacing w:line="360" w:lineRule="auto"/>
        <w:jc w:val="center"/>
        <w:rPr>
          <w:rFonts w:ascii="宋体"/>
          <w:color w:val="auto"/>
          <w:sz w:val="24"/>
          <w:highlight w:val="none"/>
        </w:rPr>
      </w:pPr>
    </w:p>
    <w:p w14:paraId="59E01817">
      <w:pPr>
        <w:autoSpaceDE w:val="0"/>
        <w:autoSpaceDN w:val="0"/>
        <w:adjustRightInd w:val="0"/>
        <w:spacing w:line="360" w:lineRule="auto"/>
        <w:jc w:val="center"/>
        <w:rPr>
          <w:rFonts w:ascii="宋体"/>
          <w:color w:val="auto"/>
          <w:sz w:val="24"/>
          <w:highlight w:val="none"/>
        </w:rPr>
      </w:pPr>
    </w:p>
    <w:p w14:paraId="25EBCA0B">
      <w:pPr>
        <w:pStyle w:val="47"/>
        <w:spacing w:line="360" w:lineRule="auto"/>
        <w:rPr>
          <w:rFonts w:hAnsi="宋体"/>
          <w:color w:val="auto"/>
          <w:szCs w:val="24"/>
          <w:highlight w:val="none"/>
          <w:u w:val="single"/>
        </w:rPr>
      </w:pPr>
    </w:p>
    <w:p w14:paraId="12ACA62D">
      <w:pPr>
        <w:pStyle w:val="47"/>
        <w:spacing w:line="360" w:lineRule="auto"/>
        <w:jc w:val="both"/>
        <w:rPr>
          <w:rFonts w:hAnsi="宋体"/>
          <w:color w:val="auto"/>
          <w:sz w:val="28"/>
          <w:szCs w:val="28"/>
          <w:highlight w:val="none"/>
          <w:u w:val="single"/>
        </w:rPr>
      </w:pPr>
      <w:r>
        <w:rPr>
          <w:rFonts w:hAnsi="宋体"/>
          <w:color w:val="auto"/>
          <w:sz w:val="28"/>
          <w:szCs w:val="28"/>
          <w:highlight w:val="none"/>
        </w:rPr>
        <w:t xml:space="preserve">  </w:t>
      </w:r>
      <w:r>
        <w:rPr>
          <w:rFonts w:hint="eastAsia" w:hAnsi="宋体"/>
          <w:color w:val="auto"/>
          <w:sz w:val="28"/>
          <w:szCs w:val="28"/>
          <w:highlight w:val="none"/>
        </w:rPr>
        <w:t>投标人（</w:t>
      </w:r>
      <w:r>
        <w:rPr>
          <w:rFonts w:hint="eastAsia"/>
          <w:color w:val="auto"/>
          <w:szCs w:val="24"/>
          <w:highlight w:val="none"/>
        </w:rPr>
        <w:t>电子签</w:t>
      </w:r>
      <w:r>
        <w:rPr>
          <w:rFonts w:hint="eastAsia" w:hAnsi="宋体"/>
          <w:color w:val="auto"/>
          <w:szCs w:val="24"/>
          <w:highlight w:val="none"/>
        </w:rPr>
        <w:t>章</w:t>
      </w:r>
      <w:r>
        <w:rPr>
          <w:rFonts w:hint="eastAsia" w:hAnsi="宋体"/>
          <w:color w:val="auto"/>
          <w:sz w:val="28"/>
          <w:szCs w:val="28"/>
          <w:highlight w:val="none"/>
        </w:rPr>
        <w:t>）：</w:t>
      </w:r>
      <w:r>
        <w:rPr>
          <w:rFonts w:hAnsi="宋体"/>
          <w:color w:val="auto"/>
          <w:sz w:val="28"/>
          <w:szCs w:val="28"/>
          <w:highlight w:val="none"/>
          <w:u w:val="single"/>
        </w:rPr>
        <w:t xml:space="preserve">                                       </w:t>
      </w:r>
    </w:p>
    <w:p w14:paraId="2D078A88">
      <w:pPr>
        <w:pStyle w:val="47"/>
        <w:spacing w:line="360" w:lineRule="auto"/>
        <w:ind w:firstLine="280" w:firstLineChars="100"/>
        <w:rPr>
          <w:rFonts w:hAnsi="宋体"/>
          <w:color w:val="auto"/>
          <w:sz w:val="28"/>
          <w:szCs w:val="28"/>
          <w:highlight w:val="none"/>
        </w:rPr>
      </w:pPr>
    </w:p>
    <w:p w14:paraId="4A506EF9">
      <w:pPr>
        <w:pStyle w:val="47"/>
        <w:spacing w:line="360" w:lineRule="auto"/>
        <w:ind w:firstLine="280" w:firstLineChars="100"/>
        <w:rPr>
          <w:rFonts w:hAnsi="宋体"/>
          <w:color w:val="auto"/>
          <w:sz w:val="28"/>
          <w:szCs w:val="28"/>
          <w:highlight w:val="none"/>
          <w:u w:val="single"/>
        </w:rPr>
      </w:pPr>
      <w:r>
        <w:rPr>
          <w:rFonts w:hint="eastAsia" w:hAnsi="宋体"/>
          <w:color w:val="auto"/>
          <w:sz w:val="28"/>
          <w:szCs w:val="28"/>
          <w:highlight w:val="none"/>
        </w:rPr>
        <w:t>法定代表人（电子签名或签章）：</w:t>
      </w:r>
      <w:r>
        <w:rPr>
          <w:rFonts w:hAnsi="宋体"/>
          <w:color w:val="auto"/>
          <w:sz w:val="28"/>
          <w:szCs w:val="28"/>
          <w:highlight w:val="none"/>
          <w:u w:val="single"/>
        </w:rPr>
        <w:t xml:space="preserve">                                    </w:t>
      </w:r>
    </w:p>
    <w:p w14:paraId="1C83EEBA">
      <w:pPr>
        <w:pStyle w:val="47"/>
        <w:spacing w:line="360" w:lineRule="auto"/>
        <w:jc w:val="center"/>
        <w:rPr>
          <w:rFonts w:hAnsi="宋体"/>
          <w:color w:val="auto"/>
          <w:sz w:val="28"/>
          <w:szCs w:val="28"/>
          <w:highlight w:val="none"/>
        </w:rPr>
      </w:pPr>
    </w:p>
    <w:p w14:paraId="5B929F01">
      <w:pPr>
        <w:pStyle w:val="47"/>
        <w:spacing w:line="360" w:lineRule="auto"/>
        <w:jc w:val="both"/>
        <w:rPr>
          <w:rFonts w:hAnsi="宋体"/>
          <w:color w:val="auto"/>
          <w:sz w:val="28"/>
          <w:szCs w:val="28"/>
          <w:highlight w:val="none"/>
        </w:rPr>
      </w:pPr>
    </w:p>
    <w:p w14:paraId="651D53EB">
      <w:pPr>
        <w:widowControl w:val="0"/>
        <w:tabs>
          <w:tab w:val="left" w:pos="9365"/>
        </w:tabs>
        <w:snapToGrid w:val="0"/>
        <w:spacing w:before="56" w:after="56" w:line="560" w:lineRule="atLeast"/>
        <w:jc w:val="left"/>
        <w:textAlignment w:val="top"/>
        <w:rPr>
          <w:color w:val="auto"/>
          <w:sz w:val="28"/>
          <w:highlight w:val="none"/>
        </w:rPr>
      </w:pPr>
      <w:r>
        <w:rPr>
          <w:rFonts w:ascii="宋体" w:cs="楷体_GB2312"/>
          <w:b/>
          <w:bCs/>
          <w:color w:val="auto"/>
          <w:sz w:val="44"/>
          <w:szCs w:val="44"/>
          <w:highlight w:val="none"/>
          <w:lang w:val="zh-CN"/>
        </w:rPr>
        <w:br w:type="page"/>
      </w:r>
      <w:bookmarkStart w:id="53" w:name="OLE_LINK35"/>
      <w:bookmarkStart w:id="54" w:name="OLE_LINK10"/>
    </w:p>
    <w:p w14:paraId="447DF222">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一、投标书</w:t>
      </w:r>
      <w:bookmarkEnd w:id="53"/>
    </w:p>
    <w:bookmarkEnd w:id="54"/>
    <w:p w14:paraId="7A94BDF8">
      <w:pPr>
        <w:widowControl w:val="0"/>
        <w:snapToGrid w:val="0"/>
        <w:spacing w:line="560" w:lineRule="exact"/>
        <w:rPr>
          <w:color w:val="auto"/>
          <w:sz w:val="28"/>
          <w:highlight w:val="none"/>
        </w:rPr>
      </w:pPr>
    </w:p>
    <w:p w14:paraId="4D9B4510">
      <w:pPr>
        <w:widowControl w:val="0"/>
        <w:snapToGrid w:val="0"/>
        <w:spacing w:line="360" w:lineRule="auto"/>
        <w:rPr>
          <w:color w:val="auto"/>
          <w:sz w:val="24"/>
          <w:szCs w:val="24"/>
          <w:highlight w:val="none"/>
        </w:rPr>
      </w:pPr>
      <w:r>
        <w:rPr>
          <w:rFonts w:hint="eastAsia"/>
          <w:color w:val="auto"/>
          <w:sz w:val="24"/>
          <w:szCs w:val="24"/>
          <w:highlight w:val="none"/>
        </w:rPr>
        <w:t>致：安阳市方正招标采购服务有限责任公司</w:t>
      </w:r>
    </w:p>
    <w:p w14:paraId="14058C7A">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根据贵方竞争性谈判采购</w:t>
      </w:r>
      <w:r>
        <w:rPr>
          <w:rFonts w:hint="eastAsia"/>
          <w:color w:val="auto"/>
          <w:sz w:val="18"/>
          <w:szCs w:val="18"/>
          <w:highlight w:val="none"/>
          <w:u w:val="single"/>
        </w:rPr>
        <w:t>（项目名称）</w:t>
      </w:r>
      <w:r>
        <w:rPr>
          <w:color w:val="auto"/>
          <w:sz w:val="18"/>
          <w:szCs w:val="18"/>
          <w:highlight w:val="none"/>
          <w:u w:val="single"/>
        </w:rPr>
        <w:t xml:space="preserve">               </w:t>
      </w:r>
      <w:r>
        <w:rPr>
          <w:rFonts w:hint="eastAsia"/>
          <w:color w:val="auto"/>
          <w:sz w:val="24"/>
          <w:szCs w:val="24"/>
          <w:highlight w:val="none"/>
        </w:rPr>
        <w:t>的谈判文件（项目编号：</w:t>
      </w:r>
      <w:r>
        <w:rPr>
          <w:color w:val="auto"/>
          <w:sz w:val="24"/>
          <w:szCs w:val="24"/>
          <w:highlight w:val="none"/>
          <w:u w:val="single"/>
        </w:rPr>
        <w:t xml:space="preserve">         </w:t>
      </w:r>
      <w:r>
        <w:rPr>
          <w:rFonts w:hint="eastAsia"/>
          <w:color w:val="auto"/>
          <w:sz w:val="24"/>
          <w:szCs w:val="24"/>
          <w:highlight w:val="none"/>
        </w:rPr>
        <w:t>），经详细研究，我们决定参加该项目的采购活动并按要求提交响应文件。我们郑重声明对我单位提交的所有投标资料的真实准确完整承担完全责任、并对之负法律责任。</w:t>
      </w:r>
    </w:p>
    <w:p w14:paraId="3D04B12C">
      <w:pPr>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）投标书。</w:t>
      </w:r>
    </w:p>
    <w:p w14:paraId="32EF93F8">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20C0CDBF">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ascii="宋体" w:hAnsi="宋体"/>
          <w:color w:val="auto"/>
          <w:sz w:val="24"/>
          <w:highlight w:val="none"/>
        </w:rPr>
        <w:t>投标报价明细表</w:t>
      </w:r>
    </w:p>
    <w:p w14:paraId="1D215260">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）服务方案及服务质量承诺</w:t>
      </w:r>
    </w:p>
    <w:p w14:paraId="534A69CA">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）服务拟投入设备清单及其技术参数</w:t>
      </w:r>
    </w:p>
    <w:p w14:paraId="6B9C4108">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）服务拟投入的人员情况表</w:t>
      </w:r>
    </w:p>
    <w:p w14:paraId="1B777964">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）偏差表</w:t>
      </w:r>
    </w:p>
    <w:p w14:paraId="64A2605C">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ascii="宋体" w:hAnsi="宋体"/>
          <w:color w:val="auto"/>
          <w:sz w:val="24"/>
          <w:highlight w:val="none"/>
        </w:rPr>
        <w:t>关于资格的声明函</w:t>
      </w:r>
    </w:p>
    <w:p w14:paraId="73FA6C23">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ascii="宋体" w:hAnsi="宋体"/>
          <w:color w:val="auto"/>
          <w:sz w:val="24"/>
          <w:highlight w:val="none"/>
        </w:rPr>
        <w:t>反商业贿赂承诺书。</w:t>
      </w:r>
    </w:p>
    <w:p w14:paraId="0F137983">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ascii="宋体" w:hAnsi="宋体"/>
          <w:color w:val="auto"/>
          <w:sz w:val="24"/>
          <w:highlight w:val="none"/>
        </w:rPr>
        <w:t>履约承诺书。</w:t>
      </w:r>
    </w:p>
    <w:p w14:paraId="06096F63">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11</w:t>
      </w:r>
      <w:r>
        <w:rPr>
          <w:rFonts w:hint="eastAsia" w:ascii="宋体" w:hAnsi="宋体"/>
          <w:color w:val="auto"/>
          <w:sz w:val="24"/>
          <w:highlight w:val="none"/>
        </w:rPr>
        <w:t>）资格要求相关证件材料及证明材料</w:t>
      </w:r>
    </w:p>
    <w:p w14:paraId="114AB4E9">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12</w:t>
      </w:r>
      <w:r>
        <w:rPr>
          <w:rFonts w:hint="eastAsia" w:ascii="宋体" w:hAnsi="宋体"/>
          <w:color w:val="auto"/>
          <w:sz w:val="24"/>
          <w:highlight w:val="none"/>
        </w:rPr>
        <w:t>）采购项目及服务要求所需的其他材料</w:t>
      </w:r>
    </w:p>
    <w:p w14:paraId="7C7CC473">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13</w:t>
      </w:r>
      <w:r>
        <w:rPr>
          <w:rFonts w:hint="eastAsia" w:ascii="宋体" w:hAnsi="宋体"/>
          <w:color w:val="auto"/>
          <w:sz w:val="24"/>
          <w:highlight w:val="none"/>
        </w:rPr>
        <w:t>）投标人须知所需的其他材料</w:t>
      </w:r>
    </w:p>
    <w:p w14:paraId="2487DC08">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14</w:t>
      </w:r>
      <w:r>
        <w:rPr>
          <w:rFonts w:hint="eastAsia" w:ascii="宋体" w:hAnsi="宋体"/>
          <w:color w:val="auto"/>
          <w:sz w:val="24"/>
          <w:highlight w:val="none"/>
        </w:rPr>
        <w:t>）评审办法所需的其他材料</w:t>
      </w:r>
    </w:p>
    <w:p w14:paraId="71AE8372">
      <w:pPr>
        <w:autoSpaceDE w:val="0"/>
        <w:autoSpaceDN w:val="0"/>
        <w:adjustRightInd w:val="0"/>
        <w:snapToGrid w:val="0"/>
        <w:spacing w:line="300" w:lineRule="auto"/>
        <w:ind w:firstLine="520" w:firstLineChars="217"/>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15</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14:paraId="3DEDDF91">
      <w:pPr>
        <w:widowControl w:val="0"/>
        <w:snapToGrid w:val="0"/>
        <w:spacing w:line="560" w:lineRule="exact"/>
        <w:ind w:firstLine="555"/>
        <w:rPr>
          <w:rFonts w:ascii="宋体" w:hAnsi="宋体"/>
          <w:color w:val="auto"/>
          <w:sz w:val="24"/>
          <w:szCs w:val="24"/>
          <w:highlight w:val="none"/>
        </w:rPr>
      </w:pPr>
      <w:r>
        <w:rPr>
          <w:rFonts w:ascii="宋体" w:hAnsi="宋体"/>
          <w:color w:val="auto"/>
          <w:sz w:val="24"/>
          <w:szCs w:val="24"/>
          <w:highlight w:val="none"/>
        </w:rPr>
        <w:t>.........</w:t>
      </w:r>
    </w:p>
    <w:p w14:paraId="787FB28D">
      <w:pPr>
        <w:widowControl w:val="0"/>
        <w:snapToGrid w:val="0"/>
        <w:spacing w:before="156" w:beforeLines="50" w:line="300" w:lineRule="auto"/>
        <w:ind w:firstLine="556"/>
        <w:rPr>
          <w:rFonts w:ascii="宋体" w:hAnsi="宋体"/>
          <w:color w:val="auto"/>
          <w:sz w:val="24"/>
          <w:szCs w:val="24"/>
          <w:highlight w:val="none"/>
        </w:rPr>
      </w:pPr>
      <w:r>
        <w:rPr>
          <w:rFonts w:hint="eastAsia" w:ascii="宋体" w:hAnsi="宋体"/>
          <w:color w:val="auto"/>
          <w:sz w:val="24"/>
          <w:szCs w:val="24"/>
          <w:highlight w:val="none"/>
        </w:rPr>
        <w:t>据此函，签字代表宣布同意如下：</w:t>
      </w:r>
    </w:p>
    <w:p w14:paraId="24B67906">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所附“开标一览表”中规定的应提供和交付的投标总价为：</w:t>
      </w:r>
    </w:p>
    <w:p w14:paraId="25891BFD">
      <w:pPr>
        <w:widowControl w:val="0"/>
        <w:snapToGrid w:val="0"/>
        <w:spacing w:before="156" w:beforeLines="50" w:line="300" w:lineRule="auto"/>
        <w:ind w:firstLine="556"/>
        <w:rPr>
          <w:color w:val="auto"/>
          <w:sz w:val="24"/>
          <w:szCs w:val="24"/>
          <w:highlight w:val="none"/>
        </w:rPr>
      </w:pPr>
      <w:r>
        <w:rPr>
          <w:rFonts w:hint="eastAsia" w:ascii="宋体" w:hAnsi="宋体"/>
          <w:color w:val="auto"/>
          <w:sz w:val="24"/>
          <w:szCs w:val="24"/>
          <w:highlight w:val="none"/>
        </w:rPr>
        <w:t>人民币</w:t>
      </w:r>
      <w:r>
        <w:rPr>
          <w:rFonts w:ascii="宋体" w:hAnsi="宋体"/>
          <w:color w:val="auto"/>
          <w:sz w:val="24"/>
          <w:szCs w:val="24"/>
          <w:highlight w:val="none"/>
          <w:u w:val="single"/>
        </w:rPr>
        <w:tab/>
      </w:r>
      <w:r>
        <w:rPr>
          <w:rFonts w:hint="eastAsia" w:ascii="宋体" w:hAnsi="宋体"/>
          <w:color w:val="auto"/>
          <w:sz w:val="24"/>
          <w:szCs w:val="24"/>
          <w:highlight w:val="none"/>
        </w:rPr>
        <w:t>，即</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olor w:val="auto"/>
          <w:sz w:val="24"/>
          <w:szCs w:val="24"/>
          <w:highlight w:val="none"/>
        </w:rPr>
        <w:t>（文字表述）</w:t>
      </w:r>
      <w:r>
        <w:rPr>
          <w:rFonts w:hint="eastAsia"/>
          <w:color w:val="auto"/>
          <w:sz w:val="24"/>
          <w:szCs w:val="24"/>
          <w:highlight w:val="none"/>
        </w:rPr>
        <w:t>服务期：</w:t>
      </w:r>
      <w:r>
        <w:rPr>
          <w:rFonts w:hint="eastAsia"/>
          <w:color w:val="auto"/>
          <w:sz w:val="24"/>
          <w:szCs w:val="24"/>
          <w:highlight w:val="none"/>
          <w:u w:val="single"/>
        </w:rPr>
        <w:t xml:space="preserve">                   </w:t>
      </w:r>
      <w:r>
        <w:rPr>
          <w:rFonts w:hint="eastAsia"/>
          <w:color w:val="auto"/>
          <w:sz w:val="24"/>
          <w:szCs w:val="24"/>
          <w:highlight w:val="none"/>
        </w:rPr>
        <w:t>，</w:t>
      </w:r>
    </w:p>
    <w:p w14:paraId="76137C2D">
      <w:pPr>
        <w:widowControl w:val="0"/>
        <w:snapToGrid w:val="0"/>
        <w:spacing w:before="156" w:beforeLines="50" w:line="300" w:lineRule="auto"/>
        <w:ind w:firstLine="556"/>
        <w:rPr>
          <w:rFonts w:ascii="宋体" w:hAnsi="宋体"/>
          <w:color w:val="auto"/>
          <w:sz w:val="24"/>
          <w:szCs w:val="24"/>
          <w:highlight w:val="none"/>
        </w:rPr>
      </w:pP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rPr>
        <w:t>。</w:t>
      </w:r>
    </w:p>
    <w:p w14:paraId="745666C7">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如果我单位的投标书被接受，我单位将履行谈判文件中规定的每一项要求，按期、按质、按量履行合同。</w:t>
      </w:r>
    </w:p>
    <w:p w14:paraId="181EFF23">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 xml:space="preserve">3. </w:t>
      </w:r>
      <w:r>
        <w:rPr>
          <w:rFonts w:hint="eastAsia" w:ascii="宋体" w:hAnsi="宋体"/>
          <w:color w:val="auto"/>
          <w:sz w:val="24"/>
          <w:szCs w:val="24"/>
          <w:highlight w:val="none"/>
        </w:rPr>
        <w:t>我单位愿按《中华人民共和国民法典》履行我单位的全部责任。</w:t>
      </w:r>
    </w:p>
    <w:p w14:paraId="2196D914">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 xml:space="preserve">4. </w:t>
      </w:r>
      <w:r>
        <w:rPr>
          <w:rFonts w:hint="eastAsia" w:ascii="宋体" w:hAnsi="宋体"/>
          <w:color w:val="auto"/>
          <w:sz w:val="24"/>
          <w:szCs w:val="24"/>
          <w:highlight w:val="none"/>
        </w:rPr>
        <w:t>我单位已详细阅读并完全理解、同意谈判文件的全部内容，包括澄清、修改、补充文件（谈判公告所述媒体公布）以及全部参考资料和有关附件；除我单位在谈判文件规定期间内书面提出的疑问外，我单位放弃对这方面有不明及误解的权力。</w:t>
      </w:r>
    </w:p>
    <w:p w14:paraId="7734B17E">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本投标自开标日起有效期为</w:t>
      </w:r>
      <w:r>
        <w:rPr>
          <w:rFonts w:ascii="宋体" w:hAnsi="宋体"/>
          <w:color w:val="auto"/>
          <w:sz w:val="24"/>
          <w:szCs w:val="24"/>
          <w:highlight w:val="none"/>
        </w:rPr>
        <w:t>90</w:t>
      </w:r>
      <w:r>
        <w:rPr>
          <w:rFonts w:hint="eastAsia" w:ascii="宋体" w:hAnsi="宋体"/>
          <w:color w:val="auto"/>
          <w:sz w:val="24"/>
          <w:szCs w:val="24"/>
          <w:highlight w:val="none"/>
        </w:rPr>
        <w:t>日历天。</w:t>
      </w:r>
    </w:p>
    <w:p w14:paraId="4DCD00DF">
      <w:pPr>
        <w:widowControl w:val="0"/>
        <w:snapToGrid w:val="0"/>
        <w:spacing w:before="156" w:beforeLines="50" w:line="300" w:lineRule="auto"/>
        <w:ind w:firstLine="556"/>
        <w:rPr>
          <w:rFonts w:ascii="宋体" w:hAnsi="宋体"/>
          <w:color w:val="auto"/>
          <w:sz w:val="24"/>
          <w:szCs w:val="24"/>
          <w:highlight w:val="none"/>
        </w:rPr>
      </w:pPr>
      <w:r>
        <w:rPr>
          <w:rFonts w:hint="eastAsia" w:ascii="宋体" w:hAnsi="宋体"/>
          <w:color w:val="auto"/>
          <w:sz w:val="24"/>
          <w:szCs w:val="24"/>
          <w:highlight w:val="none"/>
        </w:rPr>
        <w:t>6.我单位承诺按照《谈判文件》规定的付款方式执行。</w:t>
      </w:r>
    </w:p>
    <w:p w14:paraId="59266A31">
      <w:pPr>
        <w:widowControl w:val="0"/>
        <w:snapToGrid w:val="0"/>
        <w:spacing w:before="156" w:beforeLines="50" w:line="300" w:lineRule="auto"/>
        <w:ind w:firstLine="556"/>
        <w:rPr>
          <w:rFonts w:ascii="宋体" w:hAnsi="宋体"/>
          <w:color w:val="auto"/>
          <w:sz w:val="24"/>
          <w:szCs w:val="24"/>
          <w:highlight w:val="none"/>
        </w:rPr>
      </w:pP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如果在规定的开标时间后，我单位在投标有效期内撤回投标的，依据</w:t>
      </w:r>
      <w:r>
        <w:rPr>
          <w:rFonts w:hint="eastAsia" w:ascii="宋体" w:hAnsi="宋体"/>
          <w:color w:val="auto"/>
          <w:sz w:val="24"/>
          <w:szCs w:val="24"/>
          <w:highlight w:val="none"/>
        </w:rPr>
        <w:t>谈判</w:t>
      </w:r>
      <w:r>
        <w:rPr>
          <w:rFonts w:hint="eastAsia"/>
          <w:color w:val="auto"/>
          <w:sz w:val="24"/>
          <w:szCs w:val="24"/>
          <w:highlight w:val="none"/>
        </w:rPr>
        <w:t>文件“第三章3.5.5 违背承诺的责任追究措施”，我单位承担相应法律责任及违约责任。</w:t>
      </w:r>
    </w:p>
    <w:p w14:paraId="6B2219F2">
      <w:pPr>
        <w:widowControl w:val="0"/>
        <w:snapToGrid w:val="0"/>
        <w:spacing w:before="156" w:beforeLines="50" w:line="300" w:lineRule="auto"/>
        <w:ind w:firstLine="556"/>
        <w:rPr>
          <w:rFonts w:ascii="宋体" w:hAnsi="宋体"/>
          <w:color w:val="auto"/>
          <w:sz w:val="24"/>
          <w:szCs w:val="24"/>
          <w:highlight w:val="none"/>
        </w:rPr>
      </w:pPr>
      <w:r>
        <w:rPr>
          <w:rFonts w:hint="eastAsia" w:ascii="宋体" w:hAnsi="宋体"/>
          <w:color w:val="auto"/>
          <w:sz w:val="24"/>
          <w:szCs w:val="24"/>
          <w:highlight w:val="none"/>
        </w:rPr>
        <w:t>8</w:t>
      </w:r>
      <w:r>
        <w:rPr>
          <w:rFonts w:ascii="宋体" w:hAnsi="宋体"/>
          <w:color w:val="auto"/>
          <w:sz w:val="24"/>
          <w:szCs w:val="24"/>
          <w:highlight w:val="none"/>
        </w:rPr>
        <w:t xml:space="preserve">. </w:t>
      </w:r>
      <w:r>
        <w:rPr>
          <w:rFonts w:hint="eastAsia" w:ascii="宋体" w:hAnsi="宋体"/>
          <w:color w:val="auto"/>
          <w:sz w:val="24"/>
          <w:szCs w:val="24"/>
          <w:highlight w:val="none"/>
        </w:rPr>
        <w:t>我单位同意提供按照贵方可能要求的与投标有关的一切数据或资料，理解贵方不一定要接受最低价的投标或收到的任何投标。</w:t>
      </w:r>
    </w:p>
    <w:p w14:paraId="42918043">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与本投标有关的一切正式往来请寄：</w:t>
      </w:r>
    </w:p>
    <w:p w14:paraId="06E021C0">
      <w:pPr>
        <w:widowControl w:val="0"/>
        <w:snapToGrid w:val="0"/>
        <w:spacing w:line="560" w:lineRule="exact"/>
        <w:ind w:firstLine="555"/>
        <w:jc w:val="left"/>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ab/>
      </w:r>
      <w:r>
        <w:rPr>
          <w:rFonts w:ascii="宋体" w:hAnsi="宋体"/>
          <w:color w:val="auto"/>
          <w:sz w:val="24"/>
          <w:szCs w:val="24"/>
          <w:highlight w:val="none"/>
        </w:rPr>
        <w:tab/>
      </w:r>
      <w:r>
        <w:rPr>
          <w:rFonts w:hint="eastAsia" w:ascii="宋体" w:hAnsi="宋体"/>
          <w:color w:val="auto"/>
          <w:sz w:val="24"/>
          <w:szCs w:val="24"/>
          <w:highlight w:val="none"/>
        </w:rPr>
        <w:t>邮政编码：</w:t>
      </w:r>
      <w:r>
        <w:rPr>
          <w:rFonts w:ascii="宋体" w:hAnsi="宋体"/>
          <w:color w:val="auto"/>
          <w:sz w:val="24"/>
          <w:szCs w:val="24"/>
          <w:highlight w:val="none"/>
        </w:rPr>
        <w:tab/>
      </w:r>
    </w:p>
    <w:p w14:paraId="6F5C7D24">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电话：</w:t>
      </w:r>
      <w:r>
        <w:rPr>
          <w:rFonts w:ascii="宋体" w:hAnsi="宋体"/>
          <w:color w:val="auto"/>
          <w:sz w:val="24"/>
          <w:szCs w:val="24"/>
          <w:highlight w:val="none"/>
        </w:rPr>
        <w:tab/>
      </w:r>
      <w:r>
        <w:rPr>
          <w:rFonts w:ascii="宋体" w:hAnsi="宋体"/>
          <w:color w:val="auto"/>
          <w:sz w:val="24"/>
          <w:szCs w:val="24"/>
          <w:highlight w:val="none"/>
        </w:rPr>
        <w:tab/>
      </w:r>
      <w:r>
        <w:rPr>
          <w:rFonts w:hint="eastAsia" w:ascii="宋体" w:hAnsi="宋体"/>
          <w:color w:val="auto"/>
          <w:sz w:val="24"/>
          <w:szCs w:val="24"/>
          <w:highlight w:val="none"/>
        </w:rPr>
        <w:t>传真：</w:t>
      </w:r>
    </w:p>
    <w:p w14:paraId="0C90D7A5">
      <w:pPr>
        <w:widowControl w:val="0"/>
        <w:snapToGrid w:val="0"/>
        <w:spacing w:line="560" w:lineRule="exact"/>
        <w:ind w:firstLine="555"/>
        <w:rPr>
          <w:rFonts w:ascii="宋体" w:hAnsi="宋体"/>
          <w:color w:val="auto"/>
          <w:sz w:val="24"/>
          <w:szCs w:val="24"/>
          <w:highlight w:val="none"/>
        </w:rPr>
      </w:pPr>
    </w:p>
    <w:p w14:paraId="7B61DF0D">
      <w:pPr>
        <w:widowControl w:val="0"/>
        <w:snapToGrid w:val="0"/>
        <w:spacing w:line="560" w:lineRule="exact"/>
        <w:ind w:firstLine="555"/>
        <w:rPr>
          <w:rFonts w:ascii="宋体" w:hAnsi="宋体"/>
          <w:color w:val="auto"/>
          <w:sz w:val="24"/>
          <w:szCs w:val="24"/>
          <w:highlight w:val="none"/>
        </w:rPr>
      </w:pPr>
    </w:p>
    <w:p w14:paraId="7653502B">
      <w:pPr>
        <w:widowControl w:val="0"/>
        <w:snapToGrid w:val="0"/>
        <w:spacing w:line="560" w:lineRule="exact"/>
        <w:ind w:firstLine="555"/>
        <w:rPr>
          <w:rFonts w:ascii="宋体" w:hAnsi="宋体"/>
          <w:color w:val="auto"/>
          <w:sz w:val="24"/>
          <w:szCs w:val="24"/>
          <w:highlight w:val="none"/>
        </w:rPr>
      </w:pPr>
    </w:p>
    <w:p w14:paraId="3F4778C9">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投标人（电子签章）：</w:t>
      </w:r>
    </w:p>
    <w:p w14:paraId="517DF474">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5E064D58">
      <w:pPr>
        <w:autoSpaceDE w:val="0"/>
        <w:autoSpaceDN w:val="0"/>
        <w:adjustRightInd w:val="0"/>
        <w:spacing w:line="360" w:lineRule="auto"/>
        <w:ind w:right="-817"/>
        <w:rPr>
          <w:rFonts w:ascii="宋体" w:hAns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5BD970BF">
      <w:pPr>
        <w:spacing w:line="240" w:lineRule="auto"/>
        <w:jc w:val="left"/>
        <w:textAlignment w:val="auto"/>
        <w:rPr>
          <w:rFonts w:ascii="宋体" w:hAnsi="宋体"/>
          <w:color w:val="auto"/>
          <w:sz w:val="24"/>
          <w:szCs w:val="24"/>
          <w:highlight w:val="none"/>
        </w:rPr>
      </w:pPr>
      <w:r>
        <w:rPr>
          <w:rFonts w:ascii="宋体" w:hAnsi="宋体"/>
          <w:color w:val="auto"/>
          <w:sz w:val="24"/>
          <w:szCs w:val="24"/>
          <w:highlight w:val="none"/>
        </w:rPr>
        <w:br w:type="page"/>
      </w:r>
    </w:p>
    <w:p w14:paraId="5BD62E62">
      <w:pPr>
        <w:widowControl w:val="0"/>
        <w:snapToGrid w:val="0"/>
        <w:spacing w:line="560" w:lineRule="exact"/>
        <w:jc w:val="center"/>
        <w:rPr>
          <w:rFonts w:eastAsia="方正黑体简体"/>
          <w:b/>
          <w:color w:val="auto"/>
          <w:sz w:val="30"/>
          <w:szCs w:val="30"/>
          <w:highlight w:val="none"/>
        </w:rPr>
      </w:pPr>
      <w:r>
        <w:rPr>
          <w:rFonts w:hint="eastAsia" w:ascii="黑体" w:hAnsi="黑体" w:eastAsia="黑体"/>
          <w:b/>
          <w:color w:val="auto"/>
          <w:sz w:val="30"/>
          <w:szCs w:val="30"/>
          <w:highlight w:val="none"/>
        </w:rPr>
        <w:t>二、</w:t>
      </w:r>
      <w:r>
        <w:rPr>
          <w:rFonts w:hint="eastAsia" w:eastAsia="方正黑体简体"/>
          <w:b/>
          <w:color w:val="auto"/>
          <w:sz w:val="30"/>
          <w:szCs w:val="30"/>
          <w:highlight w:val="none"/>
        </w:rPr>
        <w:t>开标一览表</w:t>
      </w:r>
      <w:r>
        <w:rPr>
          <w:rFonts w:hint="eastAsia" w:ascii="宋体" w:hAnsi="宋体"/>
          <w:b/>
          <w:color w:val="auto"/>
          <w:sz w:val="24"/>
          <w:szCs w:val="24"/>
          <w:highlight w:val="none"/>
        </w:rPr>
        <w:t>（即交易系统中报价一览表）</w:t>
      </w:r>
    </w:p>
    <w:p w14:paraId="3C59632D">
      <w:pPr>
        <w:pStyle w:val="14"/>
        <w:adjustRightInd w:val="0"/>
        <w:snapToGrid w:val="0"/>
        <w:spacing w:before="0" w:beforeAutospacing="0" w:after="0" w:afterAutospacing="0"/>
        <w:rPr>
          <w:color w:val="auto"/>
          <w:highlight w:val="none"/>
        </w:rPr>
      </w:pPr>
    </w:p>
    <w:p w14:paraId="743BCF4D">
      <w:pPr>
        <w:widowControl w:val="0"/>
        <w:snapToGrid w:val="0"/>
        <w:spacing w:before="156" w:beforeLines="50" w:line="240" w:lineRule="auto"/>
        <w:ind w:firstLine="542"/>
        <w:rPr>
          <w:b/>
          <w:color w:val="auto"/>
          <w:sz w:val="24"/>
          <w:szCs w:val="24"/>
          <w:highlight w:val="none"/>
        </w:rPr>
      </w:pPr>
      <w:r>
        <w:rPr>
          <w:rFonts w:hint="eastAsia"/>
          <w:b/>
          <w:color w:val="auto"/>
          <w:sz w:val="24"/>
          <w:szCs w:val="24"/>
          <w:highlight w:val="none"/>
        </w:rPr>
        <w:t>注：</w:t>
      </w:r>
      <w:r>
        <w:rPr>
          <w:b/>
          <w:color w:val="auto"/>
          <w:sz w:val="24"/>
          <w:szCs w:val="24"/>
          <w:highlight w:val="none"/>
        </w:rPr>
        <w:t>1</w:t>
      </w:r>
      <w:r>
        <w:rPr>
          <w:rFonts w:hint="eastAsia"/>
          <w:b/>
          <w:color w:val="auto"/>
          <w:sz w:val="24"/>
          <w:szCs w:val="24"/>
          <w:highlight w:val="none"/>
        </w:rPr>
        <w:t>、投标人需在安阳市公共资源电子交易平台投标文件制作工具中、按系统要求填列报价一览表（即开标一览表），系统中填列的报价一览表（即开标一览表）为投标人《投标文件》的一部分。</w:t>
      </w:r>
    </w:p>
    <w:p w14:paraId="435283C2">
      <w:pPr>
        <w:widowControl w:val="0"/>
        <w:snapToGrid w:val="0"/>
        <w:spacing w:before="156" w:beforeLines="50" w:line="240" w:lineRule="auto"/>
        <w:ind w:firstLine="540"/>
        <w:rPr>
          <w:color w:val="auto"/>
          <w:sz w:val="24"/>
          <w:szCs w:val="24"/>
          <w:highlight w:val="none"/>
        </w:rPr>
      </w:pPr>
      <w:r>
        <w:rPr>
          <w:color w:val="auto"/>
          <w:sz w:val="24"/>
          <w:szCs w:val="24"/>
          <w:highlight w:val="none"/>
        </w:rPr>
        <w:t>2</w:t>
      </w:r>
      <w:r>
        <w:rPr>
          <w:rFonts w:hint="eastAsia"/>
          <w:color w:val="auto"/>
          <w:sz w:val="24"/>
          <w:szCs w:val="24"/>
          <w:highlight w:val="none"/>
        </w:rPr>
        <w:t>、投标人的投标报价（价格构成）应包括谈判文件所述投标报价的所有内容。</w:t>
      </w:r>
    </w:p>
    <w:p w14:paraId="2046DF08">
      <w:pPr>
        <w:widowControl w:val="0"/>
        <w:snapToGrid w:val="0"/>
        <w:spacing w:before="156" w:beforeLines="50" w:line="240" w:lineRule="auto"/>
        <w:ind w:firstLine="540"/>
        <w:jc w:val="left"/>
        <w:rPr>
          <w:color w:val="auto"/>
          <w:sz w:val="24"/>
          <w:szCs w:val="24"/>
          <w:highlight w:val="none"/>
        </w:rPr>
      </w:pPr>
      <w:r>
        <w:rPr>
          <w:color w:val="auto"/>
          <w:sz w:val="24"/>
          <w:szCs w:val="24"/>
          <w:highlight w:val="none"/>
        </w:rPr>
        <w:t>3</w:t>
      </w:r>
      <w:r>
        <w:rPr>
          <w:rFonts w:hint="eastAsia"/>
          <w:color w:val="auto"/>
          <w:sz w:val="24"/>
          <w:szCs w:val="24"/>
          <w:highlight w:val="none"/>
        </w:rPr>
        <w:t>、投标人可对谈判文件中所列的所有标段（包）进行分别投标，也可选择其中一个标段（包）或几个标段（包）投标，但不得将谈判文件规定的同一标段（包）的内容拆开投标，否则将按无效投标处理。</w:t>
      </w:r>
    </w:p>
    <w:p w14:paraId="2A678F56">
      <w:pPr>
        <w:widowControl w:val="0"/>
        <w:snapToGrid w:val="0"/>
        <w:spacing w:before="156" w:beforeLines="50" w:line="240" w:lineRule="auto"/>
        <w:ind w:firstLine="540"/>
        <w:jc w:val="left"/>
        <w:rPr>
          <w:color w:val="auto"/>
          <w:sz w:val="24"/>
          <w:szCs w:val="24"/>
          <w:highlight w:val="none"/>
        </w:rPr>
      </w:pPr>
      <w:r>
        <w:rPr>
          <w:color w:val="auto"/>
          <w:sz w:val="24"/>
          <w:szCs w:val="24"/>
          <w:highlight w:val="none"/>
        </w:rPr>
        <w:t>4</w:t>
      </w:r>
      <w:r>
        <w:rPr>
          <w:rFonts w:hint="eastAsia"/>
          <w:color w:val="auto"/>
          <w:sz w:val="24"/>
          <w:szCs w:val="24"/>
          <w:highlight w:val="none"/>
        </w:rPr>
        <w:t>、开标一览表与报价明细表有差别时，以开标一览表为准；大写文字表示的数据与小写数字表示的有差别时，以大写文字表示的数据为准。</w:t>
      </w:r>
    </w:p>
    <w:p w14:paraId="28878B9E">
      <w:pPr>
        <w:widowControl w:val="0"/>
        <w:snapToGrid w:val="0"/>
        <w:spacing w:line="360" w:lineRule="auto"/>
        <w:textAlignment w:val="top"/>
        <w:rPr>
          <w:b/>
          <w:color w:val="auto"/>
          <w:sz w:val="24"/>
          <w:szCs w:val="24"/>
          <w:highlight w:val="none"/>
        </w:rPr>
      </w:pPr>
    </w:p>
    <w:p w14:paraId="45E337C7">
      <w:pPr>
        <w:widowControl w:val="0"/>
        <w:snapToGrid w:val="0"/>
        <w:spacing w:line="360" w:lineRule="auto"/>
        <w:textAlignment w:val="top"/>
        <w:rPr>
          <w:b/>
          <w:color w:val="auto"/>
          <w:sz w:val="24"/>
          <w:szCs w:val="24"/>
          <w:highlight w:val="none"/>
        </w:rPr>
      </w:pPr>
    </w:p>
    <w:p w14:paraId="3A361657">
      <w:pPr>
        <w:widowControl w:val="0"/>
        <w:snapToGrid w:val="0"/>
        <w:spacing w:line="560" w:lineRule="exact"/>
        <w:jc w:val="center"/>
        <w:rPr>
          <w:color w:val="auto"/>
          <w:highlight w:val="none"/>
        </w:rPr>
      </w:pPr>
    </w:p>
    <w:p w14:paraId="21686AEB">
      <w:pPr>
        <w:widowControl w:val="0"/>
        <w:tabs>
          <w:tab w:val="left" w:pos="9365"/>
        </w:tabs>
        <w:snapToGrid w:val="0"/>
        <w:spacing w:after="56" w:line="240" w:lineRule="auto"/>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3B98E4BD">
      <w:pPr>
        <w:widowControl w:val="0"/>
        <w:tabs>
          <w:tab w:val="left" w:pos="9365"/>
        </w:tabs>
        <w:snapToGrid w:val="0"/>
        <w:spacing w:after="56" w:line="240" w:lineRule="auto"/>
        <w:ind w:right="85"/>
        <w:jc w:val="left"/>
        <w:textAlignment w:val="top"/>
        <w:rPr>
          <w:rFonts w:ascii="宋体" w:cs="楷体_GB2312"/>
          <w:color w:val="auto"/>
          <w:sz w:val="24"/>
          <w:highlight w:val="none"/>
          <w:lang w:val="zh-CN"/>
        </w:rPr>
      </w:pPr>
      <w:r>
        <w:rPr>
          <w:rFonts w:hint="eastAsia"/>
          <w:color w:val="auto"/>
          <w:sz w:val="24"/>
          <w:szCs w:val="24"/>
          <w:highlight w:val="none"/>
        </w:rPr>
        <w:t>法定代表人（电子签名或签章）：</w:t>
      </w:r>
      <w:r>
        <w:rPr>
          <w:rFonts w:ascii="宋体" w:hAnsi="宋体" w:cs="楷体_GB2312"/>
          <w:color w:val="auto"/>
          <w:sz w:val="24"/>
          <w:highlight w:val="none"/>
          <w:lang w:val="zh-CN"/>
        </w:rPr>
        <w:t xml:space="preserve">  </w:t>
      </w:r>
    </w:p>
    <w:p w14:paraId="334C247D">
      <w:pPr>
        <w:widowControl w:val="0"/>
        <w:tabs>
          <w:tab w:val="left" w:pos="9365"/>
        </w:tabs>
        <w:snapToGrid w:val="0"/>
        <w:spacing w:after="56" w:line="240" w:lineRule="auto"/>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18F5D0BC">
      <w:pPr>
        <w:widowControl w:val="0"/>
        <w:tabs>
          <w:tab w:val="left" w:pos="9365"/>
        </w:tabs>
        <w:snapToGrid w:val="0"/>
        <w:spacing w:before="56" w:after="56" w:line="560" w:lineRule="atLeast"/>
        <w:jc w:val="left"/>
        <w:textAlignment w:val="top"/>
        <w:rPr>
          <w:color w:val="auto"/>
          <w:highlight w:val="none"/>
        </w:rPr>
      </w:pPr>
    </w:p>
    <w:p w14:paraId="6648474C">
      <w:pPr>
        <w:widowControl w:val="0"/>
        <w:snapToGrid w:val="0"/>
        <w:spacing w:line="560" w:lineRule="exact"/>
        <w:jc w:val="center"/>
        <w:rPr>
          <w:color w:val="auto"/>
          <w:highlight w:val="none"/>
        </w:rPr>
      </w:pPr>
    </w:p>
    <w:p w14:paraId="0EB14D7A">
      <w:pPr>
        <w:widowControl w:val="0"/>
        <w:tabs>
          <w:tab w:val="left" w:pos="9365"/>
        </w:tabs>
        <w:snapToGrid w:val="0"/>
        <w:spacing w:before="56" w:after="56" w:line="560" w:lineRule="atLeast"/>
        <w:jc w:val="left"/>
        <w:textAlignment w:val="top"/>
        <w:rPr>
          <w:color w:val="auto"/>
          <w:highlight w:val="none"/>
        </w:rPr>
      </w:pPr>
      <w:r>
        <w:rPr>
          <w:color w:val="auto"/>
          <w:highlight w:val="none"/>
        </w:rPr>
        <w:br w:type="page"/>
      </w:r>
    </w:p>
    <w:p w14:paraId="1DF95718">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三、投标报价明细表</w:t>
      </w:r>
    </w:p>
    <w:p w14:paraId="3C135E3F">
      <w:pPr>
        <w:pStyle w:val="14"/>
        <w:adjustRightInd w:val="0"/>
        <w:snapToGrid w:val="0"/>
        <w:spacing w:before="156" w:beforeLines="50" w:beforeAutospacing="0" w:after="0" w:afterAutospacing="0"/>
        <w:rPr>
          <w:color w:val="auto"/>
          <w:highlight w:val="none"/>
        </w:rPr>
      </w:pPr>
    </w:p>
    <w:p w14:paraId="1BCF36A6">
      <w:pPr>
        <w:pStyle w:val="14"/>
        <w:adjustRightInd w:val="0"/>
        <w:snapToGrid w:val="0"/>
        <w:spacing w:before="0" w:beforeAutospacing="0" w:after="0" w:afterAutospacing="0"/>
        <w:rPr>
          <w:color w:val="auto"/>
          <w:highlight w:val="none"/>
          <w:u w:val="single"/>
        </w:rPr>
      </w:pPr>
      <w:r>
        <w:rPr>
          <w:rFonts w:hint="eastAsia"/>
          <w:color w:val="auto"/>
          <w:highlight w:val="none"/>
        </w:rPr>
        <w:t>项目名称：</w:t>
      </w:r>
    </w:p>
    <w:p w14:paraId="6A6C5797">
      <w:pPr>
        <w:pStyle w:val="14"/>
        <w:adjustRightInd w:val="0"/>
        <w:snapToGrid w:val="0"/>
        <w:spacing w:before="0" w:beforeAutospacing="0" w:after="0" w:afterAutospacing="0"/>
        <w:rPr>
          <w:color w:val="auto"/>
          <w:highlight w:val="none"/>
        </w:rPr>
      </w:pPr>
      <w:r>
        <w:rPr>
          <w:rFonts w:hint="eastAsia"/>
          <w:color w:val="auto"/>
          <w:highlight w:val="none"/>
        </w:rPr>
        <w:t>项目编号：</w:t>
      </w:r>
    </w:p>
    <w:tbl>
      <w:tblPr>
        <w:tblStyle w:val="15"/>
        <w:tblW w:w="917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3"/>
        <w:gridCol w:w="2160"/>
        <w:gridCol w:w="780"/>
        <w:gridCol w:w="749"/>
        <w:gridCol w:w="1134"/>
        <w:gridCol w:w="2268"/>
      </w:tblGrid>
      <w:tr w14:paraId="25C0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14:paraId="59E73892">
            <w:pPr>
              <w:spacing w:line="560" w:lineRule="exact"/>
              <w:jc w:val="center"/>
              <w:rPr>
                <w:color w:val="auto"/>
                <w:sz w:val="28"/>
                <w:highlight w:val="none"/>
              </w:rPr>
            </w:pPr>
            <w:r>
              <w:rPr>
                <w:rFonts w:hint="eastAsia"/>
                <w:color w:val="auto"/>
                <w:highlight w:val="none"/>
              </w:rPr>
              <w:t>序号</w:t>
            </w:r>
          </w:p>
        </w:tc>
        <w:tc>
          <w:tcPr>
            <w:tcW w:w="1623" w:type="dxa"/>
            <w:tcBorders>
              <w:top w:val="single" w:color="000000" w:sz="8" w:space="0"/>
              <w:bottom w:val="single" w:color="000000" w:sz="4" w:space="0"/>
              <w:right w:val="single" w:color="000000" w:sz="4" w:space="0"/>
            </w:tcBorders>
            <w:vAlign w:val="center"/>
          </w:tcPr>
          <w:p w14:paraId="7F4072E8">
            <w:pPr>
              <w:spacing w:line="560" w:lineRule="exact"/>
              <w:jc w:val="center"/>
              <w:rPr>
                <w:color w:val="auto"/>
                <w:sz w:val="28"/>
                <w:highlight w:val="none"/>
              </w:rPr>
            </w:pPr>
            <w:r>
              <w:rPr>
                <w:rFonts w:hint="eastAsia"/>
                <w:color w:val="auto"/>
                <w:highlight w:val="none"/>
              </w:rPr>
              <w:t>费用名称</w:t>
            </w:r>
          </w:p>
        </w:tc>
        <w:tc>
          <w:tcPr>
            <w:tcW w:w="2160" w:type="dxa"/>
            <w:tcBorders>
              <w:top w:val="single" w:color="000000" w:sz="8" w:space="0"/>
              <w:bottom w:val="single" w:color="000000" w:sz="4" w:space="0"/>
            </w:tcBorders>
            <w:vAlign w:val="center"/>
          </w:tcPr>
          <w:p w14:paraId="648C5AA7">
            <w:pPr>
              <w:spacing w:line="560" w:lineRule="exact"/>
              <w:jc w:val="center"/>
              <w:rPr>
                <w:color w:val="auto"/>
                <w:sz w:val="28"/>
                <w:highlight w:val="none"/>
              </w:rPr>
            </w:pPr>
            <w:r>
              <w:rPr>
                <w:rFonts w:hint="eastAsia"/>
                <w:color w:val="auto"/>
                <w:highlight w:val="none"/>
              </w:rPr>
              <w:t>费用内容</w:t>
            </w:r>
          </w:p>
        </w:tc>
        <w:tc>
          <w:tcPr>
            <w:tcW w:w="780" w:type="dxa"/>
            <w:tcBorders>
              <w:top w:val="single" w:color="000000" w:sz="8" w:space="0"/>
              <w:bottom w:val="single" w:color="000000" w:sz="4" w:space="0"/>
              <w:right w:val="single" w:color="000000" w:sz="4" w:space="0"/>
            </w:tcBorders>
            <w:vAlign w:val="center"/>
          </w:tcPr>
          <w:p w14:paraId="4D63AFB1">
            <w:pPr>
              <w:spacing w:line="560" w:lineRule="exact"/>
              <w:jc w:val="center"/>
              <w:rPr>
                <w:color w:val="auto"/>
                <w:sz w:val="28"/>
                <w:highlight w:val="none"/>
              </w:rPr>
            </w:pPr>
            <w:r>
              <w:rPr>
                <w:rFonts w:hint="eastAsia"/>
                <w:color w:val="auto"/>
                <w:highlight w:val="none"/>
              </w:rPr>
              <w:t>单位</w:t>
            </w:r>
          </w:p>
        </w:tc>
        <w:tc>
          <w:tcPr>
            <w:tcW w:w="749" w:type="dxa"/>
            <w:tcBorders>
              <w:top w:val="single" w:color="000000" w:sz="8" w:space="0"/>
              <w:bottom w:val="single" w:color="000000" w:sz="4" w:space="0"/>
              <w:right w:val="single" w:color="000000" w:sz="4" w:space="0"/>
            </w:tcBorders>
            <w:vAlign w:val="center"/>
          </w:tcPr>
          <w:p w14:paraId="69CB7BFD">
            <w:pPr>
              <w:spacing w:line="560" w:lineRule="exact"/>
              <w:jc w:val="center"/>
              <w:rPr>
                <w:color w:val="auto"/>
                <w:sz w:val="28"/>
                <w:highlight w:val="none"/>
              </w:rPr>
            </w:pPr>
            <w:r>
              <w:rPr>
                <w:rFonts w:hint="eastAsia"/>
                <w:color w:val="auto"/>
                <w:highlight w:val="none"/>
              </w:rPr>
              <w:t>数量</w:t>
            </w:r>
          </w:p>
        </w:tc>
        <w:tc>
          <w:tcPr>
            <w:tcW w:w="1134" w:type="dxa"/>
            <w:tcBorders>
              <w:top w:val="single" w:color="000000" w:sz="8" w:space="0"/>
              <w:bottom w:val="single" w:color="000000" w:sz="4" w:space="0"/>
              <w:right w:val="single" w:color="000000" w:sz="4" w:space="0"/>
            </w:tcBorders>
            <w:vAlign w:val="center"/>
          </w:tcPr>
          <w:p w14:paraId="2A1C84A2">
            <w:pPr>
              <w:spacing w:line="560" w:lineRule="exact"/>
              <w:jc w:val="center"/>
              <w:rPr>
                <w:color w:val="auto"/>
                <w:sz w:val="28"/>
                <w:highlight w:val="none"/>
              </w:rPr>
            </w:pPr>
            <w:r>
              <w:rPr>
                <w:rFonts w:hint="eastAsia"/>
                <w:color w:val="auto"/>
                <w:highlight w:val="none"/>
              </w:rPr>
              <w:t>单价</w:t>
            </w:r>
          </w:p>
        </w:tc>
        <w:tc>
          <w:tcPr>
            <w:tcW w:w="2268" w:type="dxa"/>
            <w:tcBorders>
              <w:top w:val="single" w:color="000000" w:sz="8" w:space="0"/>
              <w:bottom w:val="single" w:color="000000" w:sz="4" w:space="0"/>
              <w:right w:val="single" w:color="000000" w:sz="8" w:space="0"/>
            </w:tcBorders>
            <w:vAlign w:val="center"/>
          </w:tcPr>
          <w:p w14:paraId="7CAE5513">
            <w:pPr>
              <w:spacing w:line="560" w:lineRule="exact"/>
              <w:jc w:val="center"/>
              <w:rPr>
                <w:color w:val="auto"/>
                <w:sz w:val="28"/>
                <w:highlight w:val="none"/>
              </w:rPr>
            </w:pPr>
            <w:r>
              <w:rPr>
                <w:rFonts w:hint="eastAsia"/>
                <w:color w:val="auto"/>
                <w:highlight w:val="none"/>
              </w:rPr>
              <w:t>小计</w:t>
            </w:r>
          </w:p>
        </w:tc>
      </w:tr>
      <w:tr w14:paraId="2236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14:paraId="09E313B4">
            <w:pPr>
              <w:spacing w:line="560" w:lineRule="exact"/>
              <w:jc w:val="center"/>
              <w:rPr>
                <w:color w:val="auto"/>
                <w:sz w:val="28"/>
                <w:highlight w:val="none"/>
              </w:rPr>
            </w:pPr>
            <w:r>
              <w:rPr>
                <w:color w:val="auto"/>
                <w:highlight w:val="none"/>
              </w:rPr>
              <w:t>1</w:t>
            </w:r>
          </w:p>
        </w:tc>
        <w:tc>
          <w:tcPr>
            <w:tcW w:w="1623" w:type="dxa"/>
            <w:tcBorders>
              <w:bottom w:val="single" w:color="000000" w:sz="4" w:space="0"/>
              <w:right w:val="single" w:color="000000" w:sz="4" w:space="0"/>
            </w:tcBorders>
            <w:vAlign w:val="center"/>
          </w:tcPr>
          <w:p w14:paraId="3E6B3478">
            <w:pPr>
              <w:spacing w:line="560" w:lineRule="exact"/>
              <w:jc w:val="center"/>
              <w:rPr>
                <w:color w:val="auto"/>
                <w:sz w:val="28"/>
                <w:highlight w:val="none"/>
              </w:rPr>
            </w:pPr>
          </w:p>
        </w:tc>
        <w:tc>
          <w:tcPr>
            <w:tcW w:w="2160" w:type="dxa"/>
            <w:tcBorders>
              <w:bottom w:val="single" w:color="000000" w:sz="4" w:space="0"/>
            </w:tcBorders>
            <w:vAlign w:val="center"/>
          </w:tcPr>
          <w:p w14:paraId="3455BBE4">
            <w:pPr>
              <w:spacing w:line="560" w:lineRule="exact"/>
              <w:jc w:val="left"/>
              <w:rPr>
                <w:color w:val="auto"/>
                <w:sz w:val="28"/>
                <w:highlight w:val="none"/>
              </w:rPr>
            </w:pPr>
          </w:p>
        </w:tc>
        <w:tc>
          <w:tcPr>
            <w:tcW w:w="780" w:type="dxa"/>
            <w:tcBorders>
              <w:bottom w:val="single" w:color="000000" w:sz="4" w:space="0"/>
              <w:right w:val="single" w:color="000000" w:sz="4" w:space="0"/>
            </w:tcBorders>
            <w:vAlign w:val="center"/>
          </w:tcPr>
          <w:p w14:paraId="56FF9D78">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26ABA058">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0B27A03E">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51419432">
            <w:pPr>
              <w:spacing w:line="560" w:lineRule="exact"/>
              <w:jc w:val="center"/>
              <w:rPr>
                <w:color w:val="auto"/>
                <w:sz w:val="28"/>
                <w:highlight w:val="none"/>
              </w:rPr>
            </w:pPr>
          </w:p>
        </w:tc>
      </w:tr>
      <w:tr w14:paraId="7282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4AFFD820">
            <w:pPr>
              <w:spacing w:line="560" w:lineRule="exact"/>
              <w:jc w:val="center"/>
              <w:rPr>
                <w:color w:val="auto"/>
                <w:sz w:val="28"/>
                <w:highlight w:val="none"/>
              </w:rPr>
            </w:pPr>
            <w:r>
              <w:rPr>
                <w:color w:val="auto"/>
                <w:highlight w:val="none"/>
              </w:rPr>
              <w:t>2</w:t>
            </w:r>
          </w:p>
        </w:tc>
        <w:tc>
          <w:tcPr>
            <w:tcW w:w="1623" w:type="dxa"/>
            <w:tcBorders>
              <w:bottom w:val="single" w:color="000000" w:sz="4" w:space="0"/>
              <w:right w:val="single" w:color="000000" w:sz="4" w:space="0"/>
            </w:tcBorders>
            <w:vAlign w:val="center"/>
          </w:tcPr>
          <w:p w14:paraId="201D4B13">
            <w:pPr>
              <w:spacing w:line="560" w:lineRule="exact"/>
              <w:jc w:val="center"/>
              <w:rPr>
                <w:color w:val="auto"/>
                <w:sz w:val="28"/>
                <w:highlight w:val="none"/>
              </w:rPr>
            </w:pPr>
          </w:p>
        </w:tc>
        <w:tc>
          <w:tcPr>
            <w:tcW w:w="2160" w:type="dxa"/>
            <w:tcBorders>
              <w:bottom w:val="single" w:color="000000" w:sz="4" w:space="0"/>
            </w:tcBorders>
            <w:vAlign w:val="center"/>
          </w:tcPr>
          <w:p w14:paraId="103C0E63">
            <w:pPr>
              <w:spacing w:line="560" w:lineRule="exact"/>
              <w:jc w:val="left"/>
              <w:rPr>
                <w:color w:val="auto"/>
                <w:sz w:val="28"/>
                <w:highlight w:val="none"/>
              </w:rPr>
            </w:pPr>
          </w:p>
        </w:tc>
        <w:tc>
          <w:tcPr>
            <w:tcW w:w="780" w:type="dxa"/>
            <w:tcBorders>
              <w:bottom w:val="single" w:color="000000" w:sz="4" w:space="0"/>
              <w:right w:val="single" w:color="000000" w:sz="4" w:space="0"/>
            </w:tcBorders>
            <w:vAlign w:val="center"/>
          </w:tcPr>
          <w:p w14:paraId="1F733579">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6C3C8374">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6977B979">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77302E13">
            <w:pPr>
              <w:spacing w:line="560" w:lineRule="exact"/>
              <w:jc w:val="center"/>
              <w:rPr>
                <w:color w:val="auto"/>
                <w:sz w:val="28"/>
                <w:highlight w:val="none"/>
              </w:rPr>
            </w:pPr>
          </w:p>
        </w:tc>
      </w:tr>
      <w:tr w14:paraId="4D02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13727360">
            <w:pPr>
              <w:spacing w:line="560" w:lineRule="exact"/>
              <w:jc w:val="center"/>
              <w:rPr>
                <w:color w:val="auto"/>
                <w:sz w:val="28"/>
                <w:highlight w:val="none"/>
              </w:rPr>
            </w:pPr>
            <w:r>
              <w:rPr>
                <w:color w:val="auto"/>
                <w:highlight w:val="none"/>
              </w:rPr>
              <w:t>3</w:t>
            </w:r>
          </w:p>
        </w:tc>
        <w:tc>
          <w:tcPr>
            <w:tcW w:w="1623" w:type="dxa"/>
            <w:tcBorders>
              <w:bottom w:val="single" w:color="000000" w:sz="4" w:space="0"/>
              <w:right w:val="single" w:color="000000" w:sz="4" w:space="0"/>
            </w:tcBorders>
            <w:vAlign w:val="center"/>
          </w:tcPr>
          <w:p w14:paraId="5A508FE1">
            <w:pPr>
              <w:spacing w:line="560" w:lineRule="exact"/>
              <w:jc w:val="center"/>
              <w:rPr>
                <w:color w:val="auto"/>
                <w:sz w:val="28"/>
                <w:highlight w:val="none"/>
              </w:rPr>
            </w:pPr>
          </w:p>
        </w:tc>
        <w:tc>
          <w:tcPr>
            <w:tcW w:w="2160" w:type="dxa"/>
            <w:tcBorders>
              <w:bottom w:val="single" w:color="000000" w:sz="4" w:space="0"/>
            </w:tcBorders>
            <w:vAlign w:val="center"/>
          </w:tcPr>
          <w:p w14:paraId="5C2F2A85">
            <w:pPr>
              <w:spacing w:line="560" w:lineRule="exact"/>
              <w:jc w:val="left"/>
              <w:rPr>
                <w:color w:val="auto"/>
                <w:sz w:val="28"/>
                <w:highlight w:val="none"/>
              </w:rPr>
            </w:pPr>
          </w:p>
        </w:tc>
        <w:tc>
          <w:tcPr>
            <w:tcW w:w="780" w:type="dxa"/>
            <w:tcBorders>
              <w:bottom w:val="single" w:color="000000" w:sz="4" w:space="0"/>
              <w:right w:val="single" w:color="000000" w:sz="4" w:space="0"/>
            </w:tcBorders>
            <w:vAlign w:val="center"/>
          </w:tcPr>
          <w:p w14:paraId="174CBAD6">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4AF3BCF5">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3F13ECAF">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6561A266">
            <w:pPr>
              <w:spacing w:line="560" w:lineRule="exact"/>
              <w:jc w:val="center"/>
              <w:rPr>
                <w:color w:val="auto"/>
                <w:sz w:val="28"/>
                <w:highlight w:val="none"/>
              </w:rPr>
            </w:pPr>
          </w:p>
        </w:tc>
      </w:tr>
      <w:tr w14:paraId="3EE2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520BB324">
            <w:pPr>
              <w:spacing w:line="560" w:lineRule="exact"/>
              <w:jc w:val="center"/>
              <w:rPr>
                <w:color w:val="auto"/>
                <w:sz w:val="28"/>
                <w:highlight w:val="none"/>
              </w:rPr>
            </w:pPr>
            <w:r>
              <w:rPr>
                <w:color w:val="auto"/>
                <w:highlight w:val="none"/>
              </w:rPr>
              <w:t>4</w:t>
            </w:r>
          </w:p>
        </w:tc>
        <w:tc>
          <w:tcPr>
            <w:tcW w:w="1623" w:type="dxa"/>
            <w:tcBorders>
              <w:bottom w:val="single" w:color="000000" w:sz="4" w:space="0"/>
              <w:right w:val="single" w:color="000000" w:sz="4" w:space="0"/>
            </w:tcBorders>
            <w:vAlign w:val="center"/>
          </w:tcPr>
          <w:p w14:paraId="7F23C50F">
            <w:pPr>
              <w:spacing w:line="560" w:lineRule="exact"/>
              <w:jc w:val="center"/>
              <w:rPr>
                <w:color w:val="auto"/>
                <w:sz w:val="28"/>
                <w:highlight w:val="none"/>
              </w:rPr>
            </w:pPr>
          </w:p>
        </w:tc>
        <w:tc>
          <w:tcPr>
            <w:tcW w:w="2160" w:type="dxa"/>
            <w:tcBorders>
              <w:bottom w:val="single" w:color="000000" w:sz="4" w:space="0"/>
            </w:tcBorders>
            <w:vAlign w:val="center"/>
          </w:tcPr>
          <w:p w14:paraId="5C4F98F9">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66C3395A">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2227D204">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25F96EA6">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12615C21">
            <w:pPr>
              <w:spacing w:line="560" w:lineRule="exact"/>
              <w:jc w:val="center"/>
              <w:rPr>
                <w:color w:val="auto"/>
                <w:sz w:val="28"/>
                <w:highlight w:val="none"/>
              </w:rPr>
            </w:pPr>
          </w:p>
        </w:tc>
      </w:tr>
      <w:tr w14:paraId="529F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14:paraId="5EB2C0A8">
            <w:pPr>
              <w:spacing w:line="560" w:lineRule="exact"/>
              <w:jc w:val="center"/>
              <w:rPr>
                <w:color w:val="auto"/>
                <w:sz w:val="28"/>
                <w:highlight w:val="none"/>
              </w:rPr>
            </w:pPr>
            <w:r>
              <w:rPr>
                <w:color w:val="auto"/>
                <w:highlight w:val="none"/>
              </w:rPr>
              <w:t>5</w:t>
            </w:r>
          </w:p>
        </w:tc>
        <w:tc>
          <w:tcPr>
            <w:tcW w:w="1623" w:type="dxa"/>
            <w:tcBorders>
              <w:bottom w:val="single" w:color="000000" w:sz="4" w:space="0"/>
              <w:right w:val="single" w:color="000000" w:sz="4" w:space="0"/>
            </w:tcBorders>
            <w:vAlign w:val="center"/>
          </w:tcPr>
          <w:p w14:paraId="6A19B890">
            <w:pPr>
              <w:spacing w:line="560" w:lineRule="exact"/>
              <w:jc w:val="center"/>
              <w:rPr>
                <w:color w:val="auto"/>
                <w:sz w:val="28"/>
                <w:highlight w:val="none"/>
              </w:rPr>
            </w:pPr>
          </w:p>
        </w:tc>
        <w:tc>
          <w:tcPr>
            <w:tcW w:w="2160" w:type="dxa"/>
            <w:tcBorders>
              <w:bottom w:val="single" w:color="000000" w:sz="4" w:space="0"/>
            </w:tcBorders>
            <w:vAlign w:val="center"/>
          </w:tcPr>
          <w:p w14:paraId="18AB8E17">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0B84033D">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214FE26A">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26E0A688">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0D1375F5">
            <w:pPr>
              <w:spacing w:line="560" w:lineRule="exact"/>
              <w:jc w:val="center"/>
              <w:rPr>
                <w:color w:val="auto"/>
                <w:sz w:val="28"/>
                <w:highlight w:val="none"/>
              </w:rPr>
            </w:pPr>
          </w:p>
        </w:tc>
      </w:tr>
      <w:tr w14:paraId="14A7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02A7EC80">
            <w:pPr>
              <w:spacing w:line="560" w:lineRule="exact"/>
              <w:jc w:val="center"/>
              <w:rPr>
                <w:color w:val="auto"/>
                <w:sz w:val="28"/>
                <w:highlight w:val="none"/>
              </w:rPr>
            </w:pPr>
            <w:r>
              <w:rPr>
                <w:color w:val="auto"/>
                <w:highlight w:val="none"/>
              </w:rPr>
              <w:t>6</w:t>
            </w:r>
          </w:p>
        </w:tc>
        <w:tc>
          <w:tcPr>
            <w:tcW w:w="1623" w:type="dxa"/>
            <w:tcBorders>
              <w:bottom w:val="single" w:color="000000" w:sz="4" w:space="0"/>
              <w:right w:val="single" w:color="000000" w:sz="4" w:space="0"/>
            </w:tcBorders>
            <w:vAlign w:val="center"/>
          </w:tcPr>
          <w:p w14:paraId="7E705805">
            <w:pPr>
              <w:spacing w:line="560" w:lineRule="exact"/>
              <w:jc w:val="center"/>
              <w:rPr>
                <w:color w:val="auto"/>
                <w:sz w:val="28"/>
                <w:highlight w:val="none"/>
              </w:rPr>
            </w:pPr>
          </w:p>
        </w:tc>
        <w:tc>
          <w:tcPr>
            <w:tcW w:w="2160" w:type="dxa"/>
            <w:tcBorders>
              <w:bottom w:val="single" w:color="000000" w:sz="4" w:space="0"/>
            </w:tcBorders>
            <w:vAlign w:val="center"/>
          </w:tcPr>
          <w:p w14:paraId="27FFF5BE">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6F3635BB">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15A7EF74">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0FB449D4">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0BA303B3">
            <w:pPr>
              <w:spacing w:line="560" w:lineRule="exact"/>
              <w:jc w:val="center"/>
              <w:rPr>
                <w:color w:val="auto"/>
                <w:sz w:val="28"/>
                <w:highlight w:val="none"/>
              </w:rPr>
            </w:pPr>
          </w:p>
        </w:tc>
      </w:tr>
      <w:tr w14:paraId="0205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47958201">
            <w:pPr>
              <w:spacing w:line="560" w:lineRule="exact"/>
              <w:jc w:val="center"/>
              <w:rPr>
                <w:color w:val="auto"/>
                <w:sz w:val="28"/>
                <w:highlight w:val="none"/>
              </w:rPr>
            </w:pPr>
            <w:r>
              <w:rPr>
                <w:color w:val="auto"/>
                <w:highlight w:val="none"/>
              </w:rPr>
              <w:t>7</w:t>
            </w:r>
          </w:p>
        </w:tc>
        <w:tc>
          <w:tcPr>
            <w:tcW w:w="1623" w:type="dxa"/>
            <w:tcBorders>
              <w:bottom w:val="single" w:color="000000" w:sz="4" w:space="0"/>
              <w:right w:val="single" w:color="000000" w:sz="4" w:space="0"/>
            </w:tcBorders>
            <w:vAlign w:val="center"/>
          </w:tcPr>
          <w:p w14:paraId="52B07534">
            <w:pPr>
              <w:spacing w:line="560" w:lineRule="exact"/>
              <w:jc w:val="center"/>
              <w:rPr>
                <w:color w:val="auto"/>
                <w:sz w:val="28"/>
                <w:highlight w:val="none"/>
              </w:rPr>
            </w:pPr>
          </w:p>
        </w:tc>
        <w:tc>
          <w:tcPr>
            <w:tcW w:w="2160" w:type="dxa"/>
            <w:tcBorders>
              <w:bottom w:val="single" w:color="000000" w:sz="4" w:space="0"/>
            </w:tcBorders>
            <w:vAlign w:val="center"/>
          </w:tcPr>
          <w:p w14:paraId="3FABCFD7">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2CAEFB58">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2FDD8D72">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347396AB">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62A54C9A">
            <w:pPr>
              <w:spacing w:line="560" w:lineRule="exact"/>
              <w:jc w:val="center"/>
              <w:rPr>
                <w:color w:val="auto"/>
                <w:sz w:val="28"/>
                <w:highlight w:val="none"/>
              </w:rPr>
            </w:pPr>
          </w:p>
        </w:tc>
      </w:tr>
      <w:tr w14:paraId="37FF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51BDA875">
            <w:pPr>
              <w:spacing w:line="560" w:lineRule="exact"/>
              <w:jc w:val="center"/>
              <w:rPr>
                <w:color w:val="auto"/>
                <w:sz w:val="28"/>
                <w:highlight w:val="none"/>
              </w:rPr>
            </w:pPr>
            <w:r>
              <w:rPr>
                <w:color w:val="auto"/>
                <w:highlight w:val="none"/>
              </w:rPr>
              <w:t>8</w:t>
            </w:r>
          </w:p>
        </w:tc>
        <w:tc>
          <w:tcPr>
            <w:tcW w:w="1623" w:type="dxa"/>
            <w:tcBorders>
              <w:bottom w:val="single" w:color="000000" w:sz="4" w:space="0"/>
              <w:right w:val="single" w:color="000000" w:sz="4" w:space="0"/>
            </w:tcBorders>
            <w:vAlign w:val="center"/>
          </w:tcPr>
          <w:p w14:paraId="39A960C7">
            <w:pPr>
              <w:spacing w:line="560" w:lineRule="exact"/>
              <w:jc w:val="center"/>
              <w:rPr>
                <w:color w:val="auto"/>
                <w:sz w:val="28"/>
                <w:highlight w:val="none"/>
              </w:rPr>
            </w:pPr>
          </w:p>
        </w:tc>
        <w:tc>
          <w:tcPr>
            <w:tcW w:w="2160" w:type="dxa"/>
            <w:tcBorders>
              <w:bottom w:val="single" w:color="000000" w:sz="4" w:space="0"/>
            </w:tcBorders>
            <w:vAlign w:val="center"/>
          </w:tcPr>
          <w:p w14:paraId="45F7962D">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39BD277C">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1DF8B766">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58BDFA35">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245BA650">
            <w:pPr>
              <w:spacing w:line="560" w:lineRule="exact"/>
              <w:jc w:val="center"/>
              <w:rPr>
                <w:color w:val="auto"/>
                <w:sz w:val="28"/>
                <w:highlight w:val="none"/>
              </w:rPr>
            </w:pPr>
          </w:p>
        </w:tc>
      </w:tr>
      <w:tr w14:paraId="2672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14:paraId="63F98A39">
            <w:pPr>
              <w:spacing w:line="560" w:lineRule="exact"/>
              <w:jc w:val="center"/>
              <w:rPr>
                <w:color w:val="auto"/>
                <w:sz w:val="28"/>
                <w:highlight w:val="none"/>
              </w:rPr>
            </w:pPr>
            <w:r>
              <w:rPr>
                <w:color w:val="auto"/>
                <w:highlight w:val="none"/>
              </w:rPr>
              <w:t>9</w:t>
            </w:r>
          </w:p>
        </w:tc>
        <w:tc>
          <w:tcPr>
            <w:tcW w:w="1623" w:type="dxa"/>
            <w:tcBorders>
              <w:bottom w:val="single" w:color="000000" w:sz="4" w:space="0"/>
              <w:right w:val="single" w:color="000000" w:sz="4" w:space="0"/>
            </w:tcBorders>
            <w:vAlign w:val="center"/>
          </w:tcPr>
          <w:p w14:paraId="1AB96F42">
            <w:pPr>
              <w:spacing w:line="560" w:lineRule="exact"/>
              <w:jc w:val="center"/>
              <w:rPr>
                <w:color w:val="auto"/>
                <w:sz w:val="28"/>
                <w:highlight w:val="none"/>
              </w:rPr>
            </w:pPr>
          </w:p>
        </w:tc>
        <w:tc>
          <w:tcPr>
            <w:tcW w:w="2160" w:type="dxa"/>
            <w:tcBorders>
              <w:bottom w:val="single" w:color="000000" w:sz="4" w:space="0"/>
            </w:tcBorders>
            <w:vAlign w:val="center"/>
          </w:tcPr>
          <w:p w14:paraId="6241E1C7">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4EA1B2A3">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4B998E86">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0F98B462">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625D8A2E">
            <w:pPr>
              <w:spacing w:line="560" w:lineRule="exact"/>
              <w:jc w:val="center"/>
              <w:rPr>
                <w:color w:val="auto"/>
                <w:sz w:val="28"/>
                <w:highlight w:val="none"/>
              </w:rPr>
            </w:pPr>
          </w:p>
        </w:tc>
      </w:tr>
      <w:tr w14:paraId="09B3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14:paraId="047DD467">
            <w:pPr>
              <w:spacing w:line="560" w:lineRule="exact"/>
              <w:jc w:val="center"/>
              <w:rPr>
                <w:color w:val="auto"/>
                <w:sz w:val="28"/>
                <w:highlight w:val="none"/>
              </w:rPr>
            </w:pPr>
            <w:r>
              <w:rPr>
                <w:color w:val="auto"/>
                <w:highlight w:val="none"/>
              </w:rPr>
              <w:t>......</w:t>
            </w:r>
          </w:p>
        </w:tc>
        <w:tc>
          <w:tcPr>
            <w:tcW w:w="1623" w:type="dxa"/>
            <w:tcBorders>
              <w:bottom w:val="single" w:color="000000" w:sz="4" w:space="0"/>
              <w:right w:val="single" w:color="000000" w:sz="4" w:space="0"/>
            </w:tcBorders>
            <w:vAlign w:val="center"/>
          </w:tcPr>
          <w:p w14:paraId="35E2B497">
            <w:pPr>
              <w:spacing w:line="560" w:lineRule="exact"/>
              <w:jc w:val="center"/>
              <w:rPr>
                <w:color w:val="auto"/>
                <w:sz w:val="28"/>
                <w:highlight w:val="none"/>
              </w:rPr>
            </w:pPr>
          </w:p>
        </w:tc>
        <w:tc>
          <w:tcPr>
            <w:tcW w:w="2160" w:type="dxa"/>
            <w:tcBorders>
              <w:bottom w:val="single" w:color="000000" w:sz="4" w:space="0"/>
            </w:tcBorders>
            <w:vAlign w:val="center"/>
          </w:tcPr>
          <w:p w14:paraId="46CC100C">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61FD636B">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44BC564A">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2FC66FCC">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1E2B3E50">
            <w:pPr>
              <w:spacing w:line="560" w:lineRule="exact"/>
              <w:jc w:val="center"/>
              <w:rPr>
                <w:color w:val="auto"/>
                <w:sz w:val="28"/>
                <w:highlight w:val="none"/>
              </w:rPr>
            </w:pPr>
          </w:p>
        </w:tc>
      </w:tr>
      <w:tr w14:paraId="0D90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9179" w:type="dxa"/>
            <w:gridSpan w:val="7"/>
            <w:tcBorders>
              <w:left w:val="single" w:color="000000" w:sz="8" w:space="0"/>
              <w:bottom w:val="single" w:color="000000" w:sz="8" w:space="0"/>
              <w:right w:val="single" w:color="000000" w:sz="8" w:space="0"/>
            </w:tcBorders>
            <w:vAlign w:val="center"/>
          </w:tcPr>
          <w:p w14:paraId="755105A5">
            <w:pPr>
              <w:spacing w:line="560" w:lineRule="exact"/>
              <w:jc w:val="left"/>
              <w:rPr>
                <w:color w:val="auto"/>
                <w:highlight w:val="none"/>
              </w:rPr>
            </w:pPr>
            <w:r>
              <w:rPr>
                <w:rFonts w:hint="eastAsia"/>
                <w:color w:val="auto"/>
                <w:highlight w:val="none"/>
              </w:rPr>
              <w:t>投标报价：</w:t>
            </w:r>
            <w:r>
              <w:rPr>
                <w:color w:val="auto"/>
                <w:highlight w:val="none"/>
              </w:rPr>
              <w:t xml:space="preserve">   </w:t>
            </w:r>
            <w:r>
              <w:rPr>
                <w:rFonts w:hint="eastAsia"/>
                <w:color w:val="auto"/>
                <w:highlight w:val="none"/>
              </w:rPr>
              <w:t>拾</w:t>
            </w:r>
            <w:r>
              <w:rPr>
                <w:color w:val="auto"/>
                <w:highlight w:val="none"/>
              </w:rPr>
              <w:t xml:space="preserve">   </w:t>
            </w:r>
            <w:r>
              <w:rPr>
                <w:rFonts w:hint="eastAsia"/>
                <w:color w:val="auto"/>
                <w:highlight w:val="none"/>
              </w:rPr>
              <w:t>万</w:t>
            </w:r>
            <w:r>
              <w:rPr>
                <w:color w:val="auto"/>
                <w:highlight w:val="none"/>
              </w:rPr>
              <w:t xml:space="preserve">   </w:t>
            </w:r>
            <w:r>
              <w:rPr>
                <w:rFonts w:hint="eastAsia"/>
                <w:color w:val="auto"/>
                <w:highlight w:val="none"/>
              </w:rPr>
              <w:t>仟</w:t>
            </w:r>
            <w:r>
              <w:rPr>
                <w:color w:val="auto"/>
                <w:highlight w:val="none"/>
              </w:rPr>
              <w:t xml:space="preserve">   </w:t>
            </w:r>
            <w:r>
              <w:rPr>
                <w:rFonts w:hint="eastAsia"/>
                <w:color w:val="auto"/>
                <w:highlight w:val="none"/>
              </w:rPr>
              <w:t>佰</w:t>
            </w:r>
            <w:r>
              <w:rPr>
                <w:color w:val="auto"/>
                <w:highlight w:val="none"/>
              </w:rPr>
              <w:t xml:space="preserve">   </w:t>
            </w:r>
            <w:r>
              <w:rPr>
                <w:rFonts w:hint="eastAsia"/>
                <w:color w:val="auto"/>
                <w:highlight w:val="none"/>
              </w:rPr>
              <w:t>拾</w:t>
            </w:r>
            <w:r>
              <w:rPr>
                <w:color w:val="auto"/>
                <w:highlight w:val="none"/>
              </w:rPr>
              <w:t xml:space="preserve">     </w:t>
            </w:r>
            <w:r>
              <w:rPr>
                <w:rFonts w:hint="eastAsia"/>
                <w:color w:val="auto"/>
                <w:highlight w:val="none"/>
              </w:rPr>
              <w:t>元整</w:t>
            </w:r>
          </w:p>
          <w:p w14:paraId="3A0CD575">
            <w:pPr>
              <w:spacing w:line="560" w:lineRule="exact"/>
              <w:jc w:val="center"/>
              <w:rPr>
                <w:color w:val="auto"/>
                <w:sz w:val="28"/>
                <w:highlight w:val="none"/>
              </w:rPr>
            </w:pPr>
            <w:r>
              <w:rPr>
                <w:rFonts w:hint="eastAsia"/>
                <w:color w:val="auto"/>
                <w:highlight w:val="none"/>
              </w:rPr>
              <w:t>（小写：￥　</w:t>
            </w:r>
            <w:r>
              <w:rPr>
                <w:color w:val="auto"/>
                <w:highlight w:val="none"/>
              </w:rPr>
              <w:t xml:space="preserve">      </w:t>
            </w:r>
            <w:r>
              <w:rPr>
                <w:rFonts w:hint="eastAsia"/>
                <w:color w:val="auto"/>
                <w:highlight w:val="none"/>
              </w:rPr>
              <w:t>　　　元）</w:t>
            </w:r>
          </w:p>
        </w:tc>
      </w:tr>
    </w:tbl>
    <w:p w14:paraId="1FFF3607">
      <w:pPr>
        <w:widowControl w:val="0"/>
        <w:tabs>
          <w:tab w:val="left" w:pos="9365"/>
        </w:tabs>
        <w:snapToGrid w:val="0"/>
        <w:spacing w:after="56" w:line="360" w:lineRule="exact"/>
        <w:ind w:right="85" w:firstLine="601"/>
        <w:textAlignment w:val="top"/>
        <w:rPr>
          <w:b/>
          <w:color w:val="auto"/>
          <w:highlight w:val="none"/>
        </w:rPr>
      </w:pPr>
    </w:p>
    <w:p w14:paraId="2F29D447">
      <w:pPr>
        <w:widowControl w:val="0"/>
        <w:tabs>
          <w:tab w:val="left" w:pos="9365"/>
        </w:tabs>
        <w:snapToGrid w:val="0"/>
        <w:spacing w:after="56" w:line="240" w:lineRule="auto"/>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36BCC110">
      <w:pPr>
        <w:widowControl w:val="0"/>
        <w:tabs>
          <w:tab w:val="left" w:pos="9365"/>
        </w:tabs>
        <w:snapToGrid w:val="0"/>
        <w:spacing w:after="56" w:line="240" w:lineRule="auto"/>
        <w:ind w:right="85"/>
        <w:jc w:val="left"/>
        <w:textAlignment w:val="top"/>
        <w:rPr>
          <w:rFonts w:ascii="宋体" w:cs="楷体_GB2312"/>
          <w:color w:val="auto"/>
          <w:sz w:val="24"/>
          <w:highlight w:val="none"/>
          <w:lang w:val="zh-CN"/>
        </w:rPr>
      </w:pPr>
      <w:r>
        <w:rPr>
          <w:rFonts w:hint="eastAsia"/>
          <w:color w:val="auto"/>
          <w:sz w:val="24"/>
          <w:szCs w:val="24"/>
          <w:highlight w:val="none"/>
        </w:rPr>
        <w:t>法定代表人（电子签名或签章）：</w:t>
      </w:r>
      <w:r>
        <w:rPr>
          <w:rFonts w:ascii="宋体" w:hAnsi="宋体" w:cs="楷体_GB2312"/>
          <w:color w:val="auto"/>
          <w:sz w:val="24"/>
          <w:highlight w:val="none"/>
          <w:lang w:val="zh-CN"/>
        </w:rPr>
        <w:t xml:space="preserve">  </w:t>
      </w:r>
    </w:p>
    <w:p w14:paraId="4F81994B">
      <w:pPr>
        <w:widowControl w:val="0"/>
        <w:tabs>
          <w:tab w:val="left" w:pos="9365"/>
        </w:tabs>
        <w:snapToGrid w:val="0"/>
        <w:spacing w:after="56" w:line="240" w:lineRule="auto"/>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6C9999BC">
      <w:pPr>
        <w:widowControl w:val="0"/>
        <w:snapToGrid w:val="0"/>
        <w:spacing w:line="560" w:lineRule="exact"/>
        <w:jc w:val="left"/>
        <w:rPr>
          <w:color w:val="auto"/>
          <w:sz w:val="28"/>
          <w:highlight w:val="none"/>
        </w:rPr>
      </w:pPr>
      <w:r>
        <w:rPr>
          <w:color w:val="auto"/>
          <w:sz w:val="28"/>
          <w:highlight w:val="none"/>
        </w:rPr>
        <w:br w:type="page"/>
      </w:r>
    </w:p>
    <w:p w14:paraId="1938CCE3">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四、服务方案及服务质量承诺</w:t>
      </w:r>
    </w:p>
    <w:p w14:paraId="3750DA6B">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（格式自定）</w:t>
      </w:r>
    </w:p>
    <w:p w14:paraId="229F629E">
      <w:pPr>
        <w:pStyle w:val="14"/>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56556DD8">
      <w:pPr>
        <w:pStyle w:val="14"/>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p w14:paraId="468D9141">
      <w:pPr>
        <w:widowControl w:val="0"/>
        <w:snapToGrid w:val="0"/>
        <w:spacing w:line="560" w:lineRule="exact"/>
        <w:jc w:val="center"/>
        <w:rPr>
          <w:color w:val="auto"/>
          <w:highlight w:val="none"/>
        </w:rPr>
      </w:pPr>
    </w:p>
    <w:p w14:paraId="1E0D3AAC">
      <w:pPr>
        <w:widowControl w:val="0"/>
        <w:snapToGrid w:val="0"/>
        <w:spacing w:line="560" w:lineRule="exact"/>
        <w:jc w:val="center"/>
        <w:rPr>
          <w:color w:val="auto"/>
          <w:sz w:val="28"/>
          <w:highlight w:val="none"/>
        </w:rPr>
      </w:pPr>
    </w:p>
    <w:p w14:paraId="3997A1D4">
      <w:pPr>
        <w:widowControl w:val="0"/>
        <w:snapToGrid w:val="0"/>
        <w:spacing w:line="560" w:lineRule="exact"/>
        <w:jc w:val="center"/>
        <w:rPr>
          <w:color w:val="auto"/>
          <w:sz w:val="28"/>
          <w:highlight w:val="none"/>
        </w:rPr>
      </w:pPr>
    </w:p>
    <w:p w14:paraId="28D1D940">
      <w:pPr>
        <w:widowControl w:val="0"/>
        <w:snapToGrid w:val="0"/>
        <w:spacing w:line="560" w:lineRule="exact"/>
        <w:jc w:val="center"/>
        <w:rPr>
          <w:color w:val="auto"/>
          <w:sz w:val="28"/>
          <w:highlight w:val="none"/>
        </w:rPr>
      </w:pPr>
    </w:p>
    <w:p w14:paraId="49D8EE4D">
      <w:pPr>
        <w:widowControl w:val="0"/>
        <w:snapToGrid w:val="0"/>
        <w:spacing w:line="560" w:lineRule="exact"/>
        <w:jc w:val="center"/>
        <w:rPr>
          <w:color w:val="auto"/>
          <w:sz w:val="28"/>
          <w:highlight w:val="none"/>
        </w:rPr>
      </w:pPr>
    </w:p>
    <w:p w14:paraId="7589D366">
      <w:pPr>
        <w:widowControl w:val="0"/>
        <w:snapToGrid w:val="0"/>
        <w:spacing w:line="560" w:lineRule="exact"/>
        <w:jc w:val="center"/>
        <w:rPr>
          <w:color w:val="auto"/>
          <w:sz w:val="28"/>
          <w:highlight w:val="none"/>
        </w:rPr>
      </w:pPr>
    </w:p>
    <w:p w14:paraId="7FB57BED">
      <w:pPr>
        <w:widowControl w:val="0"/>
        <w:snapToGrid w:val="0"/>
        <w:spacing w:line="560" w:lineRule="exact"/>
        <w:jc w:val="center"/>
        <w:rPr>
          <w:color w:val="auto"/>
          <w:sz w:val="28"/>
          <w:highlight w:val="none"/>
        </w:rPr>
      </w:pPr>
    </w:p>
    <w:p w14:paraId="64CCA4C9">
      <w:pPr>
        <w:widowControl w:val="0"/>
        <w:snapToGrid w:val="0"/>
        <w:spacing w:line="560" w:lineRule="exact"/>
        <w:jc w:val="center"/>
        <w:rPr>
          <w:color w:val="auto"/>
          <w:sz w:val="28"/>
          <w:highlight w:val="none"/>
        </w:rPr>
      </w:pPr>
    </w:p>
    <w:p w14:paraId="28938324">
      <w:pPr>
        <w:widowControl w:val="0"/>
        <w:snapToGrid w:val="0"/>
        <w:spacing w:line="560" w:lineRule="exact"/>
        <w:jc w:val="center"/>
        <w:rPr>
          <w:color w:val="auto"/>
          <w:sz w:val="28"/>
          <w:highlight w:val="none"/>
        </w:rPr>
      </w:pPr>
    </w:p>
    <w:p w14:paraId="1BC1F7B9">
      <w:pPr>
        <w:widowControl w:val="0"/>
        <w:snapToGrid w:val="0"/>
        <w:spacing w:line="560" w:lineRule="exact"/>
        <w:jc w:val="center"/>
        <w:rPr>
          <w:color w:val="auto"/>
          <w:sz w:val="28"/>
          <w:highlight w:val="none"/>
        </w:rPr>
      </w:pPr>
    </w:p>
    <w:p w14:paraId="6DEFDB10">
      <w:pPr>
        <w:widowControl w:val="0"/>
        <w:snapToGrid w:val="0"/>
        <w:spacing w:line="560" w:lineRule="exact"/>
        <w:jc w:val="center"/>
        <w:rPr>
          <w:color w:val="auto"/>
          <w:sz w:val="28"/>
          <w:highlight w:val="none"/>
        </w:rPr>
      </w:pPr>
    </w:p>
    <w:p w14:paraId="4F28BDA5">
      <w:pPr>
        <w:widowControl w:val="0"/>
        <w:snapToGrid w:val="0"/>
        <w:spacing w:line="560" w:lineRule="exact"/>
        <w:jc w:val="center"/>
        <w:rPr>
          <w:color w:val="auto"/>
          <w:sz w:val="28"/>
          <w:highlight w:val="none"/>
        </w:rPr>
      </w:pPr>
    </w:p>
    <w:p w14:paraId="7757C2F0">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44B8C7E8">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5798517B">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39D39225">
      <w:pPr>
        <w:widowControl w:val="0"/>
        <w:snapToGrid w:val="0"/>
        <w:spacing w:line="560" w:lineRule="exact"/>
        <w:jc w:val="center"/>
        <w:rPr>
          <w:rFonts w:eastAsia="方正黑体简体"/>
          <w:b/>
          <w:color w:val="auto"/>
          <w:sz w:val="30"/>
          <w:szCs w:val="30"/>
          <w:highlight w:val="none"/>
        </w:rPr>
      </w:pPr>
      <w:r>
        <w:rPr>
          <w:rFonts w:eastAsia="方正黑体简体"/>
          <w:b/>
          <w:color w:val="auto"/>
          <w:sz w:val="30"/>
          <w:szCs w:val="30"/>
          <w:highlight w:val="none"/>
        </w:rPr>
        <w:br w:type="page"/>
      </w:r>
      <w:bookmarkStart w:id="55" w:name="OLE_LINK22"/>
    </w:p>
    <w:p w14:paraId="26778088">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五、</w:t>
      </w:r>
      <w:bookmarkEnd w:id="55"/>
      <w:r>
        <w:rPr>
          <w:rFonts w:hint="eastAsia" w:ascii="黑体" w:hAnsi="黑体" w:eastAsia="黑体"/>
          <w:b/>
          <w:color w:val="auto"/>
          <w:sz w:val="30"/>
          <w:szCs w:val="30"/>
          <w:highlight w:val="none"/>
        </w:rPr>
        <w:t>服务拟投入设备清单及其技术参数</w:t>
      </w:r>
    </w:p>
    <w:p w14:paraId="43CF1FAA">
      <w:pPr>
        <w:pStyle w:val="14"/>
        <w:adjustRightInd w:val="0"/>
        <w:snapToGrid w:val="0"/>
        <w:spacing w:before="0" w:beforeAutospacing="0" w:after="0" w:afterAutospacing="0"/>
        <w:rPr>
          <w:color w:val="auto"/>
          <w:highlight w:val="none"/>
        </w:rPr>
      </w:pPr>
    </w:p>
    <w:p w14:paraId="4CF9F8BF">
      <w:pPr>
        <w:pStyle w:val="14"/>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49DC64DB">
      <w:pPr>
        <w:pStyle w:val="14"/>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tbl>
      <w:tblPr>
        <w:tblStyle w:val="15"/>
        <w:tblW w:w="9371"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2759"/>
        <w:gridCol w:w="540"/>
        <w:gridCol w:w="540"/>
        <w:gridCol w:w="1755"/>
        <w:gridCol w:w="3297"/>
      </w:tblGrid>
      <w:tr w14:paraId="420E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480" w:type="dxa"/>
            <w:tcBorders>
              <w:top w:val="single" w:color="000000" w:sz="8" w:space="0"/>
              <w:bottom w:val="single" w:color="000000" w:sz="4" w:space="0"/>
              <w:right w:val="single" w:color="000000" w:sz="4" w:space="0"/>
            </w:tcBorders>
            <w:vAlign w:val="center"/>
          </w:tcPr>
          <w:p w14:paraId="040B373E">
            <w:pPr>
              <w:spacing w:line="360" w:lineRule="exact"/>
              <w:jc w:val="center"/>
              <w:rPr>
                <w:color w:val="auto"/>
                <w:sz w:val="28"/>
                <w:highlight w:val="none"/>
              </w:rPr>
            </w:pPr>
            <w:r>
              <w:rPr>
                <w:rFonts w:hint="eastAsia"/>
                <w:color w:val="auto"/>
                <w:highlight w:val="none"/>
              </w:rPr>
              <w:t>序号</w:t>
            </w:r>
          </w:p>
        </w:tc>
        <w:tc>
          <w:tcPr>
            <w:tcW w:w="2759" w:type="dxa"/>
            <w:tcBorders>
              <w:top w:val="single" w:color="000000" w:sz="8" w:space="0"/>
              <w:bottom w:val="single" w:color="000000" w:sz="4" w:space="0"/>
              <w:right w:val="single" w:color="000000" w:sz="4" w:space="0"/>
            </w:tcBorders>
            <w:vAlign w:val="center"/>
          </w:tcPr>
          <w:p w14:paraId="6524AA28">
            <w:pPr>
              <w:widowControl w:val="0"/>
              <w:snapToGrid w:val="0"/>
              <w:spacing w:line="360" w:lineRule="exact"/>
              <w:jc w:val="center"/>
              <w:rPr>
                <w:color w:val="auto"/>
                <w:sz w:val="28"/>
                <w:highlight w:val="none"/>
              </w:rPr>
            </w:pPr>
            <w:r>
              <w:rPr>
                <w:rFonts w:hint="eastAsia"/>
                <w:color w:val="auto"/>
                <w:highlight w:val="none"/>
              </w:rPr>
              <w:t>设备名称</w:t>
            </w:r>
          </w:p>
        </w:tc>
        <w:tc>
          <w:tcPr>
            <w:tcW w:w="540" w:type="dxa"/>
            <w:tcBorders>
              <w:top w:val="single" w:color="000000" w:sz="8" w:space="0"/>
              <w:bottom w:val="single" w:color="000000" w:sz="4" w:space="0"/>
              <w:right w:val="single" w:color="000000" w:sz="4" w:space="0"/>
            </w:tcBorders>
            <w:vAlign w:val="center"/>
          </w:tcPr>
          <w:p w14:paraId="4E16E700">
            <w:pPr>
              <w:spacing w:line="360" w:lineRule="exact"/>
              <w:jc w:val="center"/>
              <w:rPr>
                <w:color w:val="auto"/>
                <w:sz w:val="28"/>
                <w:highlight w:val="none"/>
              </w:rPr>
            </w:pPr>
            <w:r>
              <w:rPr>
                <w:rFonts w:hint="eastAsia"/>
                <w:color w:val="auto"/>
                <w:highlight w:val="none"/>
              </w:rPr>
              <w:t>单位</w:t>
            </w:r>
          </w:p>
        </w:tc>
        <w:tc>
          <w:tcPr>
            <w:tcW w:w="540" w:type="dxa"/>
            <w:tcBorders>
              <w:top w:val="single" w:color="000000" w:sz="8" w:space="0"/>
              <w:bottom w:val="single" w:color="000000" w:sz="4" w:space="0"/>
              <w:right w:val="single" w:color="000000" w:sz="4" w:space="0"/>
            </w:tcBorders>
            <w:vAlign w:val="center"/>
          </w:tcPr>
          <w:p w14:paraId="63FAC95A">
            <w:pPr>
              <w:spacing w:line="360" w:lineRule="exact"/>
              <w:jc w:val="center"/>
              <w:rPr>
                <w:color w:val="auto"/>
                <w:sz w:val="28"/>
                <w:highlight w:val="none"/>
              </w:rPr>
            </w:pPr>
            <w:r>
              <w:rPr>
                <w:rFonts w:hint="eastAsia"/>
                <w:color w:val="auto"/>
                <w:highlight w:val="none"/>
              </w:rPr>
              <w:t>数量</w:t>
            </w:r>
          </w:p>
        </w:tc>
        <w:tc>
          <w:tcPr>
            <w:tcW w:w="1755" w:type="dxa"/>
            <w:tcBorders>
              <w:top w:val="single" w:color="000000" w:sz="8" w:space="0"/>
              <w:bottom w:val="single" w:color="000000" w:sz="4" w:space="0"/>
              <w:right w:val="single" w:color="000000" w:sz="4" w:space="0"/>
            </w:tcBorders>
            <w:vAlign w:val="center"/>
          </w:tcPr>
          <w:p w14:paraId="5F6D68F4">
            <w:pPr>
              <w:spacing w:line="360" w:lineRule="exact"/>
              <w:jc w:val="center"/>
              <w:rPr>
                <w:color w:val="auto"/>
                <w:sz w:val="28"/>
                <w:highlight w:val="none"/>
              </w:rPr>
            </w:pPr>
            <w:r>
              <w:rPr>
                <w:rFonts w:hint="eastAsia"/>
                <w:color w:val="auto"/>
                <w:highlight w:val="none"/>
              </w:rPr>
              <w:t>品牌型号</w:t>
            </w:r>
          </w:p>
        </w:tc>
        <w:tc>
          <w:tcPr>
            <w:tcW w:w="3297" w:type="dxa"/>
            <w:tcBorders>
              <w:top w:val="single" w:color="000000" w:sz="8" w:space="0"/>
              <w:bottom w:val="single" w:color="000000" w:sz="4" w:space="0"/>
              <w:right w:val="single" w:color="000000" w:sz="4" w:space="0"/>
            </w:tcBorders>
            <w:vAlign w:val="center"/>
          </w:tcPr>
          <w:p w14:paraId="612BF3F1">
            <w:pPr>
              <w:spacing w:line="360" w:lineRule="exact"/>
              <w:jc w:val="center"/>
              <w:rPr>
                <w:color w:val="auto"/>
                <w:sz w:val="28"/>
                <w:highlight w:val="none"/>
              </w:rPr>
            </w:pPr>
            <w:r>
              <w:rPr>
                <w:rFonts w:hint="eastAsia"/>
                <w:color w:val="auto"/>
                <w:highlight w:val="none"/>
              </w:rPr>
              <w:t>技术参数</w:t>
            </w:r>
          </w:p>
        </w:tc>
      </w:tr>
      <w:tr w14:paraId="6312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480" w:type="dxa"/>
            <w:tcBorders>
              <w:bottom w:val="single" w:color="000000" w:sz="4" w:space="0"/>
              <w:right w:val="single" w:color="000000" w:sz="4" w:space="0"/>
            </w:tcBorders>
            <w:vAlign w:val="center"/>
          </w:tcPr>
          <w:p w14:paraId="0FCAB65F">
            <w:pPr>
              <w:spacing w:line="360" w:lineRule="exact"/>
              <w:jc w:val="center"/>
              <w:rPr>
                <w:color w:val="auto"/>
                <w:sz w:val="28"/>
                <w:highlight w:val="none"/>
              </w:rPr>
            </w:pPr>
            <w:r>
              <w:rPr>
                <w:color w:val="auto"/>
                <w:highlight w:val="none"/>
              </w:rPr>
              <w:t>1</w:t>
            </w:r>
          </w:p>
        </w:tc>
        <w:tc>
          <w:tcPr>
            <w:tcW w:w="2759" w:type="dxa"/>
            <w:tcBorders>
              <w:bottom w:val="single" w:color="000000" w:sz="4" w:space="0"/>
              <w:right w:val="single" w:color="000000" w:sz="4" w:space="0"/>
            </w:tcBorders>
            <w:vAlign w:val="center"/>
          </w:tcPr>
          <w:p w14:paraId="4F83510D">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7C4F38EA">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5769C002">
            <w:pPr>
              <w:spacing w:line="360" w:lineRule="exact"/>
              <w:jc w:val="center"/>
              <w:rPr>
                <w:color w:val="auto"/>
                <w:sz w:val="28"/>
                <w:highlight w:val="none"/>
              </w:rPr>
            </w:pPr>
          </w:p>
        </w:tc>
        <w:tc>
          <w:tcPr>
            <w:tcW w:w="1755" w:type="dxa"/>
            <w:tcBorders>
              <w:bottom w:val="single" w:color="000000" w:sz="4" w:space="0"/>
              <w:right w:val="single" w:color="000000" w:sz="4" w:space="0"/>
            </w:tcBorders>
            <w:vAlign w:val="center"/>
          </w:tcPr>
          <w:p w14:paraId="1B3A945F">
            <w:pPr>
              <w:spacing w:line="360" w:lineRule="exact"/>
              <w:jc w:val="center"/>
              <w:rPr>
                <w:color w:val="auto"/>
                <w:sz w:val="28"/>
                <w:highlight w:val="none"/>
              </w:rPr>
            </w:pPr>
          </w:p>
        </w:tc>
        <w:tc>
          <w:tcPr>
            <w:tcW w:w="3297" w:type="dxa"/>
            <w:tcBorders>
              <w:bottom w:val="single" w:color="000000" w:sz="4" w:space="0"/>
              <w:right w:val="single" w:color="000000" w:sz="4" w:space="0"/>
            </w:tcBorders>
            <w:vAlign w:val="center"/>
          </w:tcPr>
          <w:p w14:paraId="68BBFE68">
            <w:pPr>
              <w:spacing w:line="360" w:lineRule="exact"/>
              <w:jc w:val="center"/>
              <w:rPr>
                <w:color w:val="auto"/>
                <w:sz w:val="28"/>
                <w:highlight w:val="none"/>
              </w:rPr>
            </w:pPr>
          </w:p>
        </w:tc>
      </w:tr>
      <w:tr w14:paraId="2397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480" w:type="dxa"/>
            <w:tcBorders>
              <w:left w:val="single" w:color="000000" w:sz="4" w:space="0"/>
              <w:bottom w:val="single" w:color="000000" w:sz="4" w:space="0"/>
              <w:right w:val="single" w:color="000000" w:sz="4" w:space="0"/>
            </w:tcBorders>
            <w:vAlign w:val="center"/>
          </w:tcPr>
          <w:p w14:paraId="4282C862">
            <w:pPr>
              <w:spacing w:line="360" w:lineRule="exact"/>
              <w:jc w:val="center"/>
              <w:rPr>
                <w:color w:val="auto"/>
                <w:sz w:val="28"/>
                <w:highlight w:val="none"/>
              </w:rPr>
            </w:pPr>
            <w:r>
              <w:rPr>
                <w:color w:val="auto"/>
                <w:highlight w:val="none"/>
              </w:rPr>
              <w:t>2</w:t>
            </w:r>
          </w:p>
        </w:tc>
        <w:tc>
          <w:tcPr>
            <w:tcW w:w="2759" w:type="dxa"/>
            <w:tcBorders>
              <w:bottom w:val="single" w:color="000000" w:sz="4" w:space="0"/>
              <w:right w:val="single" w:color="000000" w:sz="4" w:space="0"/>
            </w:tcBorders>
            <w:vAlign w:val="center"/>
          </w:tcPr>
          <w:p w14:paraId="7EBCEDFE">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0123142D">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7779FA45">
            <w:pPr>
              <w:spacing w:line="360" w:lineRule="exact"/>
              <w:jc w:val="center"/>
              <w:rPr>
                <w:color w:val="auto"/>
                <w:sz w:val="28"/>
                <w:highlight w:val="none"/>
              </w:rPr>
            </w:pPr>
          </w:p>
        </w:tc>
        <w:tc>
          <w:tcPr>
            <w:tcW w:w="1755" w:type="dxa"/>
            <w:tcBorders>
              <w:bottom w:val="single" w:color="000000" w:sz="4" w:space="0"/>
              <w:right w:val="single" w:color="000000" w:sz="4" w:space="0"/>
            </w:tcBorders>
            <w:vAlign w:val="center"/>
          </w:tcPr>
          <w:p w14:paraId="24CD5CA1">
            <w:pPr>
              <w:spacing w:line="360" w:lineRule="exact"/>
              <w:jc w:val="center"/>
              <w:rPr>
                <w:color w:val="auto"/>
                <w:sz w:val="28"/>
                <w:highlight w:val="none"/>
              </w:rPr>
            </w:pPr>
          </w:p>
        </w:tc>
        <w:tc>
          <w:tcPr>
            <w:tcW w:w="3297" w:type="dxa"/>
            <w:tcBorders>
              <w:bottom w:val="single" w:color="000000" w:sz="4" w:space="0"/>
              <w:right w:val="single" w:color="000000" w:sz="4" w:space="0"/>
            </w:tcBorders>
            <w:vAlign w:val="center"/>
          </w:tcPr>
          <w:p w14:paraId="54AA4469">
            <w:pPr>
              <w:spacing w:line="360" w:lineRule="exact"/>
              <w:jc w:val="center"/>
              <w:rPr>
                <w:color w:val="auto"/>
                <w:sz w:val="28"/>
                <w:highlight w:val="none"/>
              </w:rPr>
            </w:pPr>
          </w:p>
        </w:tc>
      </w:tr>
      <w:tr w14:paraId="0BC6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757D3DE3">
            <w:pPr>
              <w:spacing w:line="360" w:lineRule="exact"/>
              <w:jc w:val="center"/>
              <w:rPr>
                <w:color w:val="auto"/>
                <w:sz w:val="28"/>
                <w:highlight w:val="none"/>
              </w:rPr>
            </w:pPr>
            <w:r>
              <w:rPr>
                <w:color w:val="auto"/>
                <w:highlight w:val="none"/>
              </w:rPr>
              <w:t>3</w:t>
            </w:r>
          </w:p>
        </w:tc>
        <w:tc>
          <w:tcPr>
            <w:tcW w:w="2759" w:type="dxa"/>
            <w:tcBorders>
              <w:right w:val="single" w:color="000000" w:sz="4" w:space="0"/>
            </w:tcBorders>
            <w:vAlign w:val="center"/>
          </w:tcPr>
          <w:p w14:paraId="3CB2A2E9">
            <w:pPr>
              <w:spacing w:line="360" w:lineRule="exact"/>
              <w:jc w:val="center"/>
              <w:rPr>
                <w:color w:val="auto"/>
                <w:sz w:val="28"/>
                <w:highlight w:val="none"/>
              </w:rPr>
            </w:pPr>
          </w:p>
        </w:tc>
        <w:tc>
          <w:tcPr>
            <w:tcW w:w="540" w:type="dxa"/>
            <w:tcBorders>
              <w:right w:val="single" w:color="000000" w:sz="4" w:space="0"/>
            </w:tcBorders>
            <w:vAlign w:val="center"/>
          </w:tcPr>
          <w:p w14:paraId="0BE35FAD">
            <w:pPr>
              <w:spacing w:line="360" w:lineRule="exact"/>
              <w:jc w:val="center"/>
              <w:rPr>
                <w:color w:val="auto"/>
                <w:sz w:val="28"/>
                <w:highlight w:val="none"/>
              </w:rPr>
            </w:pPr>
          </w:p>
        </w:tc>
        <w:tc>
          <w:tcPr>
            <w:tcW w:w="540" w:type="dxa"/>
            <w:tcBorders>
              <w:right w:val="single" w:color="000000" w:sz="4" w:space="0"/>
            </w:tcBorders>
            <w:vAlign w:val="center"/>
          </w:tcPr>
          <w:p w14:paraId="1BCB80FB">
            <w:pPr>
              <w:spacing w:line="360" w:lineRule="exact"/>
              <w:jc w:val="center"/>
              <w:rPr>
                <w:color w:val="auto"/>
                <w:sz w:val="28"/>
                <w:highlight w:val="none"/>
              </w:rPr>
            </w:pPr>
          </w:p>
        </w:tc>
        <w:tc>
          <w:tcPr>
            <w:tcW w:w="1755" w:type="dxa"/>
            <w:tcBorders>
              <w:right w:val="single" w:color="000000" w:sz="4" w:space="0"/>
            </w:tcBorders>
            <w:vAlign w:val="center"/>
          </w:tcPr>
          <w:p w14:paraId="1204F73D">
            <w:pPr>
              <w:spacing w:line="360" w:lineRule="exact"/>
              <w:jc w:val="center"/>
              <w:rPr>
                <w:color w:val="auto"/>
                <w:sz w:val="28"/>
                <w:highlight w:val="none"/>
              </w:rPr>
            </w:pPr>
          </w:p>
        </w:tc>
        <w:tc>
          <w:tcPr>
            <w:tcW w:w="3297" w:type="dxa"/>
            <w:tcBorders>
              <w:right w:val="single" w:color="000000" w:sz="4" w:space="0"/>
            </w:tcBorders>
            <w:vAlign w:val="center"/>
          </w:tcPr>
          <w:p w14:paraId="4057FEB2">
            <w:pPr>
              <w:spacing w:line="360" w:lineRule="exact"/>
              <w:jc w:val="center"/>
              <w:rPr>
                <w:color w:val="auto"/>
                <w:sz w:val="28"/>
                <w:highlight w:val="none"/>
              </w:rPr>
            </w:pPr>
          </w:p>
        </w:tc>
      </w:tr>
      <w:tr w14:paraId="2E21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3095D57B">
            <w:pPr>
              <w:spacing w:line="360" w:lineRule="exact"/>
              <w:jc w:val="center"/>
              <w:rPr>
                <w:color w:val="auto"/>
                <w:highlight w:val="none"/>
              </w:rPr>
            </w:pPr>
            <w:r>
              <w:rPr>
                <w:rFonts w:hint="eastAsia"/>
                <w:color w:val="auto"/>
                <w:highlight w:val="none"/>
              </w:rPr>
              <w:t>……</w:t>
            </w:r>
          </w:p>
        </w:tc>
        <w:tc>
          <w:tcPr>
            <w:tcW w:w="2759" w:type="dxa"/>
            <w:tcBorders>
              <w:right w:val="single" w:color="000000" w:sz="4" w:space="0"/>
            </w:tcBorders>
            <w:vAlign w:val="center"/>
          </w:tcPr>
          <w:p w14:paraId="22EB667E">
            <w:pPr>
              <w:spacing w:line="360" w:lineRule="exact"/>
              <w:jc w:val="center"/>
              <w:rPr>
                <w:color w:val="auto"/>
                <w:sz w:val="28"/>
                <w:highlight w:val="none"/>
              </w:rPr>
            </w:pPr>
          </w:p>
        </w:tc>
        <w:tc>
          <w:tcPr>
            <w:tcW w:w="540" w:type="dxa"/>
            <w:tcBorders>
              <w:right w:val="single" w:color="000000" w:sz="4" w:space="0"/>
            </w:tcBorders>
            <w:vAlign w:val="center"/>
          </w:tcPr>
          <w:p w14:paraId="496C926D">
            <w:pPr>
              <w:spacing w:line="360" w:lineRule="exact"/>
              <w:jc w:val="center"/>
              <w:rPr>
                <w:color w:val="auto"/>
                <w:sz w:val="28"/>
                <w:highlight w:val="none"/>
              </w:rPr>
            </w:pPr>
          </w:p>
        </w:tc>
        <w:tc>
          <w:tcPr>
            <w:tcW w:w="540" w:type="dxa"/>
            <w:tcBorders>
              <w:right w:val="single" w:color="000000" w:sz="4" w:space="0"/>
            </w:tcBorders>
            <w:vAlign w:val="center"/>
          </w:tcPr>
          <w:p w14:paraId="437060DC">
            <w:pPr>
              <w:spacing w:line="360" w:lineRule="exact"/>
              <w:jc w:val="center"/>
              <w:rPr>
                <w:color w:val="auto"/>
                <w:sz w:val="28"/>
                <w:highlight w:val="none"/>
              </w:rPr>
            </w:pPr>
          </w:p>
        </w:tc>
        <w:tc>
          <w:tcPr>
            <w:tcW w:w="1755" w:type="dxa"/>
            <w:tcBorders>
              <w:right w:val="single" w:color="000000" w:sz="4" w:space="0"/>
            </w:tcBorders>
            <w:vAlign w:val="center"/>
          </w:tcPr>
          <w:p w14:paraId="755A525D">
            <w:pPr>
              <w:spacing w:line="360" w:lineRule="exact"/>
              <w:jc w:val="center"/>
              <w:rPr>
                <w:color w:val="auto"/>
                <w:sz w:val="28"/>
                <w:highlight w:val="none"/>
              </w:rPr>
            </w:pPr>
          </w:p>
        </w:tc>
        <w:tc>
          <w:tcPr>
            <w:tcW w:w="3297" w:type="dxa"/>
            <w:tcBorders>
              <w:right w:val="single" w:color="000000" w:sz="4" w:space="0"/>
            </w:tcBorders>
            <w:vAlign w:val="center"/>
          </w:tcPr>
          <w:p w14:paraId="42E75609">
            <w:pPr>
              <w:spacing w:line="360" w:lineRule="exact"/>
              <w:jc w:val="center"/>
              <w:rPr>
                <w:color w:val="auto"/>
                <w:sz w:val="28"/>
                <w:highlight w:val="none"/>
              </w:rPr>
            </w:pPr>
          </w:p>
        </w:tc>
      </w:tr>
    </w:tbl>
    <w:p w14:paraId="534EE83A">
      <w:pPr>
        <w:autoSpaceDE w:val="0"/>
        <w:autoSpaceDN w:val="0"/>
        <w:adjustRightInd w:val="0"/>
        <w:spacing w:line="240" w:lineRule="auto"/>
        <w:rPr>
          <w:color w:val="auto"/>
          <w:highlight w:val="none"/>
        </w:rPr>
      </w:pPr>
      <w:r>
        <w:rPr>
          <w:rFonts w:hint="eastAsia"/>
          <w:color w:val="auto"/>
          <w:highlight w:val="none"/>
        </w:rPr>
        <w:t>注：投标人应详细填写服务投入设备的具体技术参数。包括设备的品牌型号、规格等技术参数。</w:t>
      </w:r>
    </w:p>
    <w:p w14:paraId="3AD643BA">
      <w:pPr>
        <w:widowControl w:val="0"/>
        <w:snapToGrid w:val="0"/>
        <w:spacing w:line="560" w:lineRule="exact"/>
        <w:jc w:val="center"/>
        <w:rPr>
          <w:rFonts w:ascii="宋体"/>
          <w:color w:val="auto"/>
          <w:sz w:val="24"/>
          <w:highlight w:val="none"/>
        </w:rPr>
      </w:pPr>
    </w:p>
    <w:p w14:paraId="7FD1E39F">
      <w:pPr>
        <w:widowControl w:val="0"/>
        <w:snapToGrid w:val="0"/>
        <w:spacing w:line="560" w:lineRule="exact"/>
        <w:jc w:val="center"/>
        <w:rPr>
          <w:rFonts w:ascii="宋体"/>
          <w:color w:val="auto"/>
          <w:sz w:val="24"/>
          <w:highlight w:val="none"/>
        </w:rPr>
      </w:pPr>
    </w:p>
    <w:p w14:paraId="5E5CC3EE">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3286BB67">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765393B4">
      <w:pPr>
        <w:autoSpaceDE w:val="0"/>
        <w:autoSpaceDN w:val="0"/>
        <w:adjustRightInd w:val="0"/>
        <w:spacing w:line="360" w:lineRule="auto"/>
        <w:ind w:right="-817"/>
        <w:jc w:val="left"/>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079A6EA6">
      <w:pPr>
        <w:spacing w:line="240" w:lineRule="auto"/>
        <w:jc w:val="left"/>
        <w:textAlignment w:val="auto"/>
        <w:rPr>
          <w:rFonts w:eastAsia="方正黑体简体"/>
          <w:b/>
          <w:color w:val="auto"/>
          <w:sz w:val="30"/>
          <w:szCs w:val="30"/>
          <w:highlight w:val="none"/>
        </w:rPr>
      </w:pPr>
    </w:p>
    <w:p w14:paraId="67FD41C9">
      <w:pPr>
        <w:spacing w:line="240" w:lineRule="auto"/>
        <w:jc w:val="left"/>
        <w:textAlignment w:val="auto"/>
        <w:rPr>
          <w:rFonts w:eastAsia="方正黑体简体"/>
          <w:b/>
          <w:color w:val="auto"/>
          <w:sz w:val="30"/>
          <w:szCs w:val="30"/>
          <w:highlight w:val="none"/>
        </w:rPr>
      </w:pPr>
      <w:r>
        <w:rPr>
          <w:rFonts w:eastAsia="方正黑体简体"/>
          <w:b/>
          <w:color w:val="auto"/>
          <w:sz w:val="30"/>
          <w:szCs w:val="30"/>
          <w:highlight w:val="none"/>
        </w:rPr>
        <w:br w:type="page"/>
      </w:r>
    </w:p>
    <w:p w14:paraId="665510E2">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六、服务拟投入的人员情况表</w:t>
      </w:r>
    </w:p>
    <w:p w14:paraId="11954F13">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（格式自定）</w:t>
      </w:r>
    </w:p>
    <w:p w14:paraId="11FAEC49">
      <w:pPr>
        <w:widowControl w:val="0"/>
        <w:snapToGrid w:val="0"/>
        <w:spacing w:line="560" w:lineRule="exact"/>
        <w:jc w:val="center"/>
        <w:rPr>
          <w:rFonts w:ascii="Adobe 宋体 Std L" w:hAnsi="Adobe 宋体 Std L" w:eastAsia="Adobe 宋体 Std L"/>
          <w:b/>
          <w:color w:val="auto"/>
          <w:sz w:val="30"/>
          <w:szCs w:val="30"/>
          <w:highlight w:val="none"/>
        </w:rPr>
      </w:pPr>
    </w:p>
    <w:p w14:paraId="44AFA589">
      <w:pPr>
        <w:pStyle w:val="14"/>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796AB922">
      <w:pPr>
        <w:pStyle w:val="14"/>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p w14:paraId="2ED53065">
      <w:pPr>
        <w:autoSpaceDE w:val="0"/>
        <w:autoSpaceDN w:val="0"/>
        <w:adjustRightInd w:val="0"/>
        <w:spacing w:line="360" w:lineRule="auto"/>
        <w:jc w:val="center"/>
        <w:rPr>
          <w:rFonts w:ascii="宋体"/>
          <w:color w:val="auto"/>
          <w:spacing w:val="8"/>
          <w:szCs w:val="21"/>
          <w:highlight w:val="none"/>
        </w:rPr>
      </w:pPr>
    </w:p>
    <w:p w14:paraId="4D86FCCE">
      <w:pPr>
        <w:autoSpaceDE w:val="0"/>
        <w:autoSpaceDN w:val="0"/>
        <w:adjustRightInd w:val="0"/>
        <w:spacing w:line="360" w:lineRule="auto"/>
        <w:jc w:val="center"/>
        <w:rPr>
          <w:rFonts w:ascii="宋体"/>
          <w:color w:val="auto"/>
          <w:spacing w:val="8"/>
          <w:szCs w:val="21"/>
          <w:highlight w:val="none"/>
        </w:rPr>
      </w:pPr>
    </w:p>
    <w:p w14:paraId="02BC49B4">
      <w:pPr>
        <w:autoSpaceDE w:val="0"/>
        <w:autoSpaceDN w:val="0"/>
        <w:adjustRightInd w:val="0"/>
        <w:spacing w:line="360" w:lineRule="auto"/>
        <w:jc w:val="center"/>
        <w:rPr>
          <w:rFonts w:ascii="宋体"/>
          <w:color w:val="auto"/>
          <w:spacing w:val="8"/>
          <w:szCs w:val="21"/>
          <w:highlight w:val="none"/>
        </w:rPr>
      </w:pPr>
    </w:p>
    <w:p w14:paraId="3F10BB94">
      <w:pPr>
        <w:autoSpaceDE w:val="0"/>
        <w:autoSpaceDN w:val="0"/>
        <w:adjustRightInd w:val="0"/>
        <w:spacing w:line="360" w:lineRule="auto"/>
        <w:jc w:val="center"/>
        <w:rPr>
          <w:rFonts w:ascii="宋体"/>
          <w:color w:val="auto"/>
          <w:spacing w:val="8"/>
          <w:szCs w:val="21"/>
          <w:highlight w:val="none"/>
        </w:rPr>
      </w:pPr>
    </w:p>
    <w:p w14:paraId="371FED2C">
      <w:pPr>
        <w:autoSpaceDE w:val="0"/>
        <w:autoSpaceDN w:val="0"/>
        <w:adjustRightInd w:val="0"/>
        <w:spacing w:line="360" w:lineRule="auto"/>
        <w:jc w:val="center"/>
        <w:rPr>
          <w:rFonts w:ascii="宋体"/>
          <w:color w:val="auto"/>
          <w:spacing w:val="8"/>
          <w:szCs w:val="21"/>
          <w:highlight w:val="none"/>
        </w:rPr>
      </w:pPr>
    </w:p>
    <w:p w14:paraId="0127C34E">
      <w:pPr>
        <w:autoSpaceDE w:val="0"/>
        <w:autoSpaceDN w:val="0"/>
        <w:adjustRightInd w:val="0"/>
        <w:spacing w:line="360" w:lineRule="auto"/>
        <w:jc w:val="center"/>
        <w:rPr>
          <w:rFonts w:ascii="宋体"/>
          <w:color w:val="auto"/>
          <w:spacing w:val="8"/>
          <w:szCs w:val="21"/>
          <w:highlight w:val="none"/>
        </w:rPr>
      </w:pPr>
    </w:p>
    <w:p w14:paraId="145EDBBE">
      <w:pPr>
        <w:autoSpaceDE w:val="0"/>
        <w:autoSpaceDN w:val="0"/>
        <w:adjustRightInd w:val="0"/>
        <w:spacing w:line="360" w:lineRule="auto"/>
        <w:jc w:val="center"/>
        <w:rPr>
          <w:rFonts w:ascii="宋体"/>
          <w:color w:val="auto"/>
          <w:spacing w:val="8"/>
          <w:szCs w:val="21"/>
          <w:highlight w:val="none"/>
        </w:rPr>
      </w:pPr>
    </w:p>
    <w:p w14:paraId="5BC20A2A">
      <w:pPr>
        <w:autoSpaceDE w:val="0"/>
        <w:autoSpaceDN w:val="0"/>
        <w:adjustRightInd w:val="0"/>
        <w:spacing w:line="360" w:lineRule="auto"/>
        <w:jc w:val="center"/>
        <w:rPr>
          <w:rFonts w:ascii="宋体"/>
          <w:color w:val="auto"/>
          <w:spacing w:val="8"/>
          <w:szCs w:val="21"/>
          <w:highlight w:val="none"/>
        </w:rPr>
      </w:pPr>
    </w:p>
    <w:p w14:paraId="04F613BE">
      <w:pPr>
        <w:autoSpaceDE w:val="0"/>
        <w:autoSpaceDN w:val="0"/>
        <w:adjustRightInd w:val="0"/>
        <w:spacing w:line="360" w:lineRule="auto"/>
        <w:jc w:val="center"/>
        <w:rPr>
          <w:rFonts w:ascii="宋体"/>
          <w:color w:val="auto"/>
          <w:spacing w:val="8"/>
          <w:szCs w:val="21"/>
          <w:highlight w:val="none"/>
        </w:rPr>
      </w:pPr>
    </w:p>
    <w:p w14:paraId="55D722F8">
      <w:pPr>
        <w:autoSpaceDE w:val="0"/>
        <w:autoSpaceDN w:val="0"/>
        <w:adjustRightInd w:val="0"/>
        <w:spacing w:line="360" w:lineRule="auto"/>
        <w:jc w:val="center"/>
        <w:rPr>
          <w:rFonts w:ascii="宋体"/>
          <w:color w:val="auto"/>
          <w:spacing w:val="8"/>
          <w:szCs w:val="21"/>
          <w:highlight w:val="none"/>
        </w:rPr>
      </w:pPr>
    </w:p>
    <w:p w14:paraId="24B354C0">
      <w:pPr>
        <w:autoSpaceDE w:val="0"/>
        <w:autoSpaceDN w:val="0"/>
        <w:adjustRightInd w:val="0"/>
        <w:spacing w:line="360" w:lineRule="auto"/>
        <w:jc w:val="center"/>
        <w:rPr>
          <w:rFonts w:ascii="宋体"/>
          <w:color w:val="auto"/>
          <w:spacing w:val="8"/>
          <w:szCs w:val="21"/>
          <w:highlight w:val="none"/>
        </w:rPr>
      </w:pPr>
    </w:p>
    <w:p w14:paraId="32B7AF0C">
      <w:pPr>
        <w:autoSpaceDE w:val="0"/>
        <w:autoSpaceDN w:val="0"/>
        <w:adjustRightInd w:val="0"/>
        <w:spacing w:line="360" w:lineRule="auto"/>
        <w:jc w:val="center"/>
        <w:rPr>
          <w:rFonts w:ascii="宋体"/>
          <w:color w:val="auto"/>
          <w:spacing w:val="8"/>
          <w:szCs w:val="21"/>
          <w:highlight w:val="none"/>
        </w:rPr>
      </w:pPr>
    </w:p>
    <w:p w14:paraId="7B530BC4">
      <w:pPr>
        <w:autoSpaceDE w:val="0"/>
        <w:autoSpaceDN w:val="0"/>
        <w:adjustRightInd w:val="0"/>
        <w:spacing w:line="360" w:lineRule="auto"/>
        <w:jc w:val="center"/>
        <w:rPr>
          <w:rFonts w:ascii="宋体"/>
          <w:color w:val="auto"/>
          <w:spacing w:val="8"/>
          <w:szCs w:val="21"/>
          <w:highlight w:val="none"/>
        </w:rPr>
      </w:pPr>
    </w:p>
    <w:p w14:paraId="73AAB3B7">
      <w:pPr>
        <w:tabs>
          <w:tab w:val="left" w:pos="0"/>
        </w:tabs>
        <w:adjustRightInd w:val="0"/>
        <w:snapToGrid w:val="0"/>
        <w:spacing w:before="156" w:beforeLines="50" w:line="300" w:lineRule="auto"/>
        <w:ind w:right="510"/>
        <w:rPr>
          <w:rFonts w:ascii="宋体"/>
          <w:color w:val="auto"/>
          <w:spacing w:val="8"/>
          <w:szCs w:val="21"/>
          <w:highlight w:val="none"/>
        </w:rPr>
      </w:pPr>
    </w:p>
    <w:p w14:paraId="197D354C">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283A051B">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0562C929">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日</w:t>
      </w:r>
    </w:p>
    <w:p w14:paraId="39E5F73D">
      <w:pPr>
        <w:tabs>
          <w:tab w:val="left" w:pos="540"/>
        </w:tabs>
        <w:spacing w:line="440" w:lineRule="exact"/>
        <w:jc w:val="center"/>
        <w:rPr>
          <w:rFonts w:ascii="宋体" w:cs="楷体_GB2312"/>
          <w:b/>
          <w:color w:val="auto"/>
          <w:sz w:val="30"/>
          <w:szCs w:val="30"/>
          <w:highlight w:val="none"/>
        </w:rPr>
      </w:pPr>
    </w:p>
    <w:p w14:paraId="3E0DC638">
      <w:pPr>
        <w:widowControl w:val="0"/>
        <w:snapToGrid w:val="0"/>
        <w:spacing w:line="560" w:lineRule="exact"/>
        <w:jc w:val="left"/>
        <w:textAlignment w:val="top"/>
        <w:rPr>
          <w:color w:val="auto"/>
          <w:highlight w:val="none"/>
        </w:rPr>
      </w:pPr>
      <w:r>
        <w:rPr>
          <w:color w:val="auto"/>
          <w:highlight w:val="none"/>
        </w:rPr>
        <w:br w:type="page"/>
      </w:r>
    </w:p>
    <w:p w14:paraId="4B57EEF6">
      <w:pPr>
        <w:widowControl w:val="0"/>
        <w:snapToGrid w:val="0"/>
        <w:spacing w:line="560" w:lineRule="exact"/>
        <w:jc w:val="center"/>
        <w:rPr>
          <w:rFonts w:ascii="黑体" w:hAnsi="黑体" w:eastAsia="黑体"/>
          <w:b/>
          <w:color w:val="auto"/>
          <w:sz w:val="28"/>
          <w:szCs w:val="28"/>
          <w:highlight w:val="none"/>
        </w:rPr>
      </w:pPr>
      <w:bookmarkStart w:id="56" w:name="OLE_LINK27"/>
      <w:r>
        <w:rPr>
          <w:rFonts w:hint="eastAsia" w:ascii="黑体" w:hAnsi="黑体" w:eastAsia="黑体"/>
          <w:b/>
          <w:color w:val="auto"/>
          <w:sz w:val="30"/>
          <w:szCs w:val="30"/>
          <w:highlight w:val="none"/>
        </w:rPr>
        <w:t>七、</w:t>
      </w:r>
      <w:bookmarkEnd w:id="56"/>
      <w:r>
        <w:rPr>
          <w:rFonts w:hint="eastAsia" w:ascii="黑体" w:hAnsi="黑体" w:eastAsia="黑体"/>
          <w:b/>
          <w:color w:val="auto"/>
          <w:sz w:val="30"/>
          <w:szCs w:val="30"/>
          <w:highlight w:val="none"/>
        </w:rPr>
        <w:t>偏差表</w:t>
      </w:r>
    </w:p>
    <w:p w14:paraId="202719DF">
      <w:pPr>
        <w:widowControl w:val="0"/>
        <w:snapToGrid w:val="0"/>
        <w:spacing w:line="276" w:lineRule="auto"/>
        <w:jc w:val="center"/>
        <w:rPr>
          <w:rFonts w:ascii="Adobe 宋体 Std L" w:hAnsi="Adobe 宋体 Std L" w:eastAsia="Adobe 宋体 Std L"/>
          <w:b/>
          <w:color w:val="auto"/>
          <w:sz w:val="28"/>
          <w:szCs w:val="28"/>
          <w:highlight w:val="none"/>
        </w:rPr>
      </w:pPr>
    </w:p>
    <w:p w14:paraId="4E79BA49">
      <w:pPr>
        <w:pStyle w:val="14"/>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22607AEA">
      <w:pPr>
        <w:pStyle w:val="14"/>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tbl>
      <w:tblPr>
        <w:tblStyle w:val="15"/>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1793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6BCCD538">
            <w:pPr>
              <w:spacing w:line="560" w:lineRule="exact"/>
              <w:jc w:val="center"/>
              <w:rPr>
                <w:b/>
                <w:color w:val="auto"/>
                <w:sz w:val="28"/>
                <w:highlight w:val="none"/>
              </w:rPr>
            </w:pPr>
            <w:r>
              <w:rPr>
                <w:rFonts w:hint="eastAsia"/>
                <w:b/>
                <w:color w:val="auto"/>
                <w:highlight w:val="none"/>
              </w:rPr>
              <w:t>序号</w:t>
            </w:r>
          </w:p>
        </w:tc>
        <w:tc>
          <w:tcPr>
            <w:tcW w:w="3098" w:type="dxa"/>
            <w:tcBorders>
              <w:top w:val="single" w:color="000000" w:sz="8" w:space="0"/>
              <w:bottom w:val="single" w:color="000000" w:sz="4" w:space="0"/>
              <w:right w:val="single" w:color="000000" w:sz="4" w:space="0"/>
            </w:tcBorders>
            <w:vAlign w:val="center"/>
          </w:tcPr>
          <w:p w14:paraId="115B6819">
            <w:pPr>
              <w:spacing w:line="560" w:lineRule="exact"/>
              <w:jc w:val="center"/>
              <w:rPr>
                <w:b/>
                <w:color w:val="auto"/>
                <w:sz w:val="28"/>
                <w:highlight w:val="none"/>
              </w:rPr>
            </w:pPr>
            <w:r>
              <w:rPr>
                <w:rFonts w:hint="eastAsia"/>
                <w:b/>
                <w:color w:val="auto"/>
                <w:highlight w:val="none"/>
              </w:rPr>
              <w:t>谈判文件要求</w:t>
            </w:r>
          </w:p>
        </w:tc>
        <w:tc>
          <w:tcPr>
            <w:tcW w:w="2947" w:type="dxa"/>
            <w:tcBorders>
              <w:top w:val="single" w:color="000000" w:sz="8" w:space="0"/>
              <w:bottom w:val="single" w:color="000000" w:sz="4" w:space="0"/>
              <w:right w:val="single" w:color="000000" w:sz="4" w:space="0"/>
            </w:tcBorders>
            <w:vAlign w:val="center"/>
          </w:tcPr>
          <w:p w14:paraId="5A2943EA">
            <w:pPr>
              <w:spacing w:line="560" w:lineRule="exact"/>
              <w:jc w:val="center"/>
              <w:rPr>
                <w:b/>
                <w:color w:val="auto"/>
                <w:sz w:val="28"/>
                <w:highlight w:val="none"/>
              </w:rPr>
            </w:pPr>
            <w:r>
              <w:rPr>
                <w:rFonts w:hint="eastAsia"/>
                <w:b/>
                <w:color w:val="auto"/>
                <w:highlight w:val="none"/>
              </w:rPr>
              <w:t>投标文件响应</w:t>
            </w:r>
          </w:p>
        </w:tc>
        <w:tc>
          <w:tcPr>
            <w:tcW w:w="2638" w:type="dxa"/>
            <w:tcBorders>
              <w:top w:val="single" w:color="000000" w:sz="8" w:space="0"/>
              <w:bottom w:val="single" w:color="000000" w:sz="4" w:space="0"/>
              <w:right w:val="single" w:color="000000" w:sz="8" w:space="0"/>
            </w:tcBorders>
            <w:vAlign w:val="center"/>
          </w:tcPr>
          <w:p w14:paraId="432DAA9F">
            <w:pPr>
              <w:spacing w:line="560" w:lineRule="exact"/>
              <w:jc w:val="center"/>
              <w:rPr>
                <w:b/>
                <w:color w:val="auto"/>
                <w:sz w:val="28"/>
                <w:highlight w:val="none"/>
              </w:rPr>
            </w:pPr>
            <w:r>
              <w:rPr>
                <w:rFonts w:hint="eastAsia"/>
                <w:b/>
                <w:color w:val="auto"/>
                <w:highlight w:val="none"/>
              </w:rPr>
              <w:t>偏差描述</w:t>
            </w:r>
          </w:p>
        </w:tc>
      </w:tr>
      <w:tr w14:paraId="54F9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2623036B">
            <w:pPr>
              <w:spacing w:line="560" w:lineRule="exact"/>
              <w:jc w:val="center"/>
              <w:rPr>
                <w:color w:val="auto"/>
                <w:sz w:val="28"/>
                <w:highlight w:val="none"/>
              </w:rPr>
            </w:pPr>
            <w:r>
              <w:rPr>
                <w:color w:val="auto"/>
                <w:highlight w:val="none"/>
              </w:rPr>
              <w:t>1</w:t>
            </w:r>
          </w:p>
        </w:tc>
        <w:tc>
          <w:tcPr>
            <w:tcW w:w="3098" w:type="dxa"/>
            <w:tcBorders>
              <w:bottom w:val="single" w:color="000000" w:sz="4" w:space="0"/>
              <w:right w:val="single" w:color="000000" w:sz="4" w:space="0"/>
            </w:tcBorders>
            <w:vAlign w:val="center"/>
          </w:tcPr>
          <w:p w14:paraId="05FE5319">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23E0040">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44E91ADC">
            <w:pPr>
              <w:spacing w:line="560" w:lineRule="exact"/>
              <w:jc w:val="center"/>
              <w:rPr>
                <w:color w:val="auto"/>
                <w:sz w:val="28"/>
                <w:highlight w:val="none"/>
              </w:rPr>
            </w:pPr>
          </w:p>
        </w:tc>
      </w:tr>
      <w:tr w14:paraId="517A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29B644B0">
            <w:pPr>
              <w:spacing w:line="560" w:lineRule="exact"/>
              <w:jc w:val="center"/>
              <w:rPr>
                <w:color w:val="auto"/>
                <w:sz w:val="28"/>
                <w:highlight w:val="none"/>
              </w:rPr>
            </w:pPr>
            <w:r>
              <w:rPr>
                <w:color w:val="auto"/>
                <w:highlight w:val="none"/>
              </w:rPr>
              <w:t>2</w:t>
            </w:r>
          </w:p>
        </w:tc>
        <w:tc>
          <w:tcPr>
            <w:tcW w:w="3098" w:type="dxa"/>
            <w:tcBorders>
              <w:bottom w:val="single" w:color="000000" w:sz="4" w:space="0"/>
              <w:right w:val="single" w:color="000000" w:sz="4" w:space="0"/>
            </w:tcBorders>
            <w:vAlign w:val="center"/>
          </w:tcPr>
          <w:p w14:paraId="5A25E1D8">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60FA9559">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42B1E6C0">
            <w:pPr>
              <w:spacing w:line="560" w:lineRule="exact"/>
              <w:jc w:val="center"/>
              <w:rPr>
                <w:color w:val="auto"/>
                <w:sz w:val="28"/>
                <w:highlight w:val="none"/>
              </w:rPr>
            </w:pPr>
          </w:p>
        </w:tc>
      </w:tr>
      <w:tr w14:paraId="024F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7FC04FEF">
            <w:pPr>
              <w:spacing w:line="560" w:lineRule="exact"/>
              <w:jc w:val="center"/>
              <w:rPr>
                <w:color w:val="auto"/>
                <w:sz w:val="28"/>
                <w:highlight w:val="none"/>
              </w:rPr>
            </w:pPr>
            <w:r>
              <w:rPr>
                <w:color w:val="auto"/>
                <w:highlight w:val="none"/>
              </w:rPr>
              <w:t>3</w:t>
            </w:r>
          </w:p>
        </w:tc>
        <w:tc>
          <w:tcPr>
            <w:tcW w:w="3098" w:type="dxa"/>
            <w:tcBorders>
              <w:bottom w:val="single" w:color="000000" w:sz="4" w:space="0"/>
              <w:right w:val="single" w:color="000000" w:sz="4" w:space="0"/>
            </w:tcBorders>
            <w:vAlign w:val="center"/>
          </w:tcPr>
          <w:p w14:paraId="444CC744">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74934C3">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285A0284">
            <w:pPr>
              <w:spacing w:line="560" w:lineRule="exact"/>
              <w:jc w:val="center"/>
              <w:rPr>
                <w:color w:val="auto"/>
                <w:sz w:val="28"/>
                <w:highlight w:val="none"/>
              </w:rPr>
            </w:pPr>
          </w:p>
        </w:tc>
      </w:tr>
      <w:tr w14:paraId="55C7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5F81E6B">
            <w:pPr>
              <w:spacing w:line="560" w:lineRule="exact"/>
              <w:jc w:val="center"/>
              <w:rPr>
                <w:color w:val="auto"/>
                <w:sz w:val="28"/>
                <w:highlight w:val="none"/>
              </w:rPr>
            </w:pPr>
            <w:r>
              <w:rPr>
                <w:color w:val="auto"/>
                <w:highlight w:val="none"/>
              </w:rPr>
              <w:t>4</w:t>
            </w:r>
          </w:p>
        </w:tc>
        <w:tc>
          <w:tcPr>
            <w:tcW w:w="3098" w:type="dxa"/>
            <w:tcBorders>
              <w:bottom w:val="single" w:color="000000" w:sz="4" w:space="0"/>
              <w:right w:val="single" w:color="000000" w:sz="4" w:space="0"/>
            </w:tcBorders>
            <w:vAlign w:val="center"/>
          </w:tcPr>
          <w:p w14:paraId="608A7178">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0ED2E93">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1CF80666">
            <w:pPr>
              <w:spacing w:line="560" w:lineRule="exact"/>
              <w:jc w:val="center"/>
              <w:rPr>
                <w:color w:val="auto"/>
                <w:sz w:val="28"/>
                <w:highlight w:val="none"/>
              </w:rPr>
            </w:pPr>
          </w:p>
        </w:tc>
      </w:tr>
      <w:tr w14:paraId="76EE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08ED1C92">
            <w:pPr>
              <w:spacing w:line="560" w:lineRule="exact"/>
              <w:jc w:val="center"/>
              <w:rPr>
                <w:color w:val="auto"/>
                <w:sz w:val="28"/>
                <w:highlight w:val="none"/>
              </w:rPr>
            </w:pPr>
            <w:r>
              <w:rPr>
                <w:color w:val="auto"/>
                <w:highlight w:val="none"/>
              </w:rPr>
              <w:t>5</w:t>
            </w:r>
          </w:p>
        </w:tc>
        <w:tc>
          <w:tcPr>
            <w:tcW w:w="3098" w:type="dxa"/>
            <w:tcBorders>
              <w:bottom w:val="single" w:color="000000" w:sz="4" w:space="0"/>
              <w:right w:val="single" w:color="000000" w:sz="4" w:space="0"/>
            </w:tcBorders>
            <w:vAlign w:val="center"/>
          </w:tcPr>
          <w:p w14:paraId="0985D851">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355F521C">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516F0A7">
            <w:pPr>
              <w:spacing w:line="560" w:lineRule="exact"/>
              <w:jc w:val="center"/>
              <w:rPr>
                <w:color w:val="auto"/>
                <w:sz w:val="28"/>
                <w:highlight w:val="none"/>
              </w:rPr>
            </w:pPr>
          </w:p>
        </w:tc>
      </w:tr>
      <w:tr w14:paraId="0C0B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2BD8505C">
            <w:pPr>
              <w:spacing w:line="560" w:lineRule="exact"/>
              <w:jc w:val="center"/>
              <w:rPr>
                <w:color w:val="auto"/>
                <w:sz w:val="28"/>
                <w:highlight w:val="none"/>
              </w:rPr>
            </w:pPr>
            <w:r>
              <w:rPr>
                <w:color w:val="auto"/>
                <w:highlight w:val="none"/>
              </w:rPr>
              <w:t>6</w:t>
            </w:r>
          </w:p>
        </w:tc>
        <w:tc>
          <w:tcPr>
            <w:tcW w:w="3098" w:type="dxa"/>
            <w:tcBorders>
              <w:bottom w:val="single" w:color="000000" w:sz="4" w:space="0"/>
              <w:right w:val="single" w:color="000000" w:sz="4" w:space="0"/>
            </w:tcBorders>
            <w:vAlign w:val="center"/>
          </w:tcPr>
          <w:p w14:paraId="6E95CADF">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09CC37EF">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4362DC7E">
            <w:pPr>
              <w:spacing w:line="560" w:lineRule="exact"/>
              <w:jc w:val="center"/>
              <w:rPr>
                <w:color w:val="auto"/>
                <w:sz w:val="28"/>
                <w:highlight w:val="none"/>
              </w:rPr>
            </w:pPr>
          </w:p>
        </w:tc>
      </w:tr>
      <w:tr w14:paraId="32F4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0F86D817">
            <w:pPr>
              <w:spacing w:line="560" w:lineRule="exact"/>
              <w:jc w:val="center"/>
              <w:rPr>
                <w:color w:val="auto"/>
                <w:sz w:val="28"/>
                <w:highlight w:val="none"/>
              </w:rPr>
            </w:pPr>
            <w:r>
              <w:rPr>
                <w:color w:val="auto"/>
                <w:highlight w:val="none"/>
              </w:rPr>
              <w:t>7</w:t>
            </w:r>
          </w:p>
        </w:tc>
        <w:tc>
          <w:tcPr>
            <w:tcW w:w="3098" w:type="dxa"/>
            <w:tcBorders>
              <w:bottom w:val="single" w:color="000000" w:sz="4" w:space="0"/>
              <w:right w:val="single" w:color="000000" w:sz="4" w:space="0"/>
            </w:tcBorders>
            <w:vAlign w:val="center"/>
          </w:tcPr>
          <w:p w14:paraId="0DEECE49">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6321D10">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3620E4D1">
            <w:pPr>
              <w:spacing w:line="560" w:lineRule="exact"/>
              <w:jc w:val="center"/>
              <w:rPr>
                <w:color w:val="auto"/>
                <w:sz w:val="28"/>
                <w:highlight w:val="none"/>
              </w:rPr>
            </w:pPr>
          </w:p>
        </w:tc>
      </w:tr>
      <w:tr w14:paraId="66FE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1EC4BC12">
            <w:pPr>
              <w:spacing w:line="560" w:lineRule="exact"/>
              <w:jc w:val="center"/>
              <w:rPr>
                <w:color w:val="auto"/>
                <w:sz w:val="28"/>
                <w:highlight w:val="none"/>
              </w:rPr>
            </w:pPr>
            <w:r>
              <w:rPr>
                <w:color w:val="auto"/>
                <w:highlight w:val="none"/>
              </w:rPr>
              <w:t>8</w:t>
            </w:r>
          </w:p>
        </w:tc>
        <w:tc>
          <w:tcPr>
            <w:tcW w:w="3098" w:type="dxa"/>
            <w:tcBorders>
              <w:bottom w:val="single" w:color="000000" w:sz="4" w:space="0"/>
              <w:right w:val="single" w:color="000000" w:sz="4" w:space="0"/>
            </w:tcBorders>
            <w:vAlign w:val="center"/>
          </w:tcPr>
          <w:p w14:paraId="0CF55390">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ABE6A7F">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21F853AE">
            <w:pPr>
              <w:spacing w:line="560" w:lineRule="exact"/>
              <w:jc w:val="center"/>
              <w:rPr>
                <w:color w:val="auto"/>
                <w:sz w:val="28"/>
                <w:highlight w:val="none"/>
              </w:rPr>
            </w:pPr>
          </w:p>
        </w:tc>
      </w:tr>
      <w:tr w14:paraId="0A7A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03FC9C83">
            <w:pPr>
              <w:spacing w:line="560" w:lineRule="exact"/>
              <w:jc w:val="center"/>
              <w:rPr>
                <w:color w:val="auto"/>
                <w:sz w:val="28"/>
                <w:highlight w:val="none"/>
              </w:rPr>
            </w:pPr>
            <w:r>
              <w:rPr>
                <w:color w:val="auto"/>
                <w:highlight w:val="none"/>
              </w:rPr>
              <w:t>9</w:t>
            </w:r>
          </w:p>
        </w:tc>
        <w:tc>
          <w:tcPr>
            <w:tcW w:w="3098" w:type="dxa"/>
            <w:tcBorders>
              <w:bottom w:val="single" w:color="000000" w:sz="4" w:space="0"/>
              <w:right w:val="single" w:color="000000" w:sz="4" w:space="0"/>
            </w:tcBorders>
            <w:vAlign w:val="center"/>
          </w:tcPr>
          <w:p w14:paraId="61704A8A">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9E9F3CF">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2E1AC4D">
            <w:pPr>
              <w:spacing w:line="560" w:lineRule="exact"/>
              <w:jc w:val="center"/>
              <w:rPr>
                <w:color w:val="auto"/>
                <w:sz w:val="28"/>
                <w:highlight w:val="none"/>
              </w:rPr>
            </w:pPr>
          </w:p>
        </w:tc>
      </w:tr>
      <w:tr w14:paraId="7B5A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45BED8EE">
            <w:pPr>
              <w:spacing w:line="560" w:lineRule="exact"/>
              <w:jc w:val="center"/>
              <w:rPr>
                <w:color w:val="auto"/>
                <w:sz w:val="28"/>
                <w:highlight w:val="none"/>
              </w:rPr>
            </w:pPr>
            <w:r>
              <w:rPr>
                <w:color w:val="auto"/>
                <w:highlight w:val="none"/>
              </w:rPr>
              <w:t>......</w:t>
            </w:r>
          </w:p>
        </w:tc>
        <w:tc>
          <w:tcPr>
            <w:tcW w:w="3098" w:type="dxa"/>
            <w:tcBorders>
              <w:bottom w:val="single" w:color="000000" w:sz="8" w:space="0"/>
              <w:right w:val="single" w:color="000000" w:sz="4" w:space="0"/>
            </w:tcBorders>
            <w:vAlign w:val="center"/>
          </w:tcPr>
          <w:p w14:paraId="0D74569B">
            <w:pPr>
              <w:spacing w:line="560" w:lineRule="exact"/>
              <w:jc w:val="center"/>
              <w:rPr>
                <w:color w:val="auto"/>
                <w:sz w:val="28"/>
                <w:highlight w:val="none"/>
              </w:rPr>
            </w:pPr>
          </w:p>
        </w:tc>
        <w:tc>
          <w:tcPr>
            <w:tcW w:w="2947" w:type="dxa"/>
            <w:tcBorders>
              <w:bottom w:val="single" w:color="000000" w:sz="8" w:space="0"/>
              <w:right w:val="single" w:color="000000" w:sz="4" w:space="0"/>
            </w:tcBorders>
            <w:vAlign w:val="center"/>
          </w:tcPr>
          <w:p w14:paraId="78C2BB12">
            <w:pPr>
              <w:spacing w:line="560" w:lineRule="exact"/>
              <w:jc w:val="center"/>
              <w:rPr>
                <w:color w:val="auto"/>
                <w:sz w:val="28"/>
                <w:highlight w:val="none"/>
              </w:rPr>
            </w:pPr>
          </w:p>
        </w:tc>
        <w:tc>
          <w:tcPr>
            <w:tcW w:w="2638" w:type="dxa"/>
            <w:tcBorders>
              <w:bottom w:val="single" w:color="000000" w:sz="8" w:space="0"/>
              <w:right w:val="single" w:color="000000" w:sz="8" w:space="0"/>
            </w:tcBorders>
            <w:vAlign w:val="center"/>
          </w:tcPr>
          <w:p w14:paraId="2E6A7A32">
            <w:pPr>
              <w:spacing w:line="560" w:lineRule="exact"/>
              <w:jc w:val="center"/>
              <w:rPr>
                <w:color w:val="auto"/>
                <w:sz w:val="28"/>
                <w:highlight w:val="none"/>
              </w:rPr>
            </w:pPr>
          </w:p>
        </w:tc>
      </w:tr>
    </w:tbl>
    <w:p w14:paraId="1F17BD2A">
      <w:pPr>
        <w:tabs>
          <w:tab w:val="left" w:pos="0"/>
        </w:tabs>
        <w:adjustRightInd w:val="0"/>
        <w:snapToGrid w:val="0"/>
        <w:spacing w:before="156" w:beforeLines="50" w:line="300" w:lineRule="auto"/>
        <w:ind w:right="25" w:firstLine="452" w:firstLineChars="200"/>
        <w:rPr>
          <w:rFonts w:ascii="宋体"/>
          <w:color w:val="auto"/>
          <w:spacing w:val="8"/>
          <w:szCs w:val="21"/>
          <w:highlight w:val="none"/>
        </w:rPr>
      </w:pPr>
      <w:r>
        <w:rPr>
          <w:rFonts w:hint="eastAsia" w:ascii="宋体" w:hAnsi="宋体"/>
          <w:color w:val="auto"/>
          <w:spacing w:val="8"/>
          <w:szCs w:val="21"/>
          <w:highlight w:val="none"/>
        </w:rPr>
        <w:t>注：</w:t>
      </w:r>
      <w:r>
        <w:rPr>
          <w:rFonts w:ascii="宋体" w:hAnsi="宋体"/>
          <w:color w:val="auto"/>
          <w:spacing w:val="8"/>
          <w:szCs w:val="21"/>
          <w:highlight w:val="none"/>
        </w:rPr>
        <w:t>1</w:t>
      </w:r>
      <w:r>
        <w:rPr>
          <w:rFonts w:hint="eastAsia" w:ascii="宋体" w:hAnsi="宋体"/>
          <w:color w:val="auto"/>
          <w:spacing w:val="8"/>
          <w:szCs w:val="21"/>
          <w:highlight w:val="none"/>
        </w:rPr>
        <w:t>、“偏差表”应详细注明与《谈判文件》中各项要求有何不同，并说明其符合性（优于、或低于《谈判文件》要求）。</w:t>
      </w:r>
    </w:p>
    <w:p w14:paraId="385A7102">
      <w:pPr>
        <w:tabs>
          <w:tab w:val="left" w:pos="0"/>
        </w:tabs>
        <w:adjustRightInd w:val="0"/>
        <w:snapToGrid w:val="0"/>
        <w:spacing w:before="156" w:beforeLines="50" w:line="300" w:lineRule="auto"/>
        <w:ind w:right="25" w:firstLine="452" w:firstLineChars="200"/>
        <w:rPr>
          <w:rFonts w:ascii="宋体"/>
          <w:color w:val="auto"/>
          <w:spacing w:val="8"/>
          <w:szCs w:val="21"/>
          <w:highlight w:val="none"/>
        </w:rPr>
      </w:pPr>
      <w:r>
        <w:rPr>
          <w:rFonts w:ascii="宋体" w:hAnsi="宋体"/>
          <w:color w:val="auto"/>
          <w:spacing w:val="8"/>
          <w:szCs w:val="21"/>
          <w:highlight w:val="none"/>
        </w:rPr>
        <w:t>2</w:t>
      </w:r>
      <w:r>
        <w:rPr>
          <w:rFonts w:hint="eastAsia" w:ascii="宋体" w:hAnsi="宋体"/>
          <w:color w:val="auto"/>
          <w:spacing w:val="8"/>
          <w:szCs w:val="21"/>
          <w:highlight w:val="none"/>
        </w:rPr>
        <w:t>、如投标条款与《谈判文件》要求一致，仍需在本表填列“与《谈判文件》所有条款要求一致，无偏差”等相似表述。</w:t>
      </w:r>
    </w:p>
    <w:p w14:paraId="0EDC9B30">
      <w:pPr>
        <w:tabs>
          <w:tab w:val="left" w:pos="540"/>
        </w:tabs>
        <w:spacing w:line="440" w:lineRule="exact"/>
        <w:jc w:val="center"/>
        <w:rPr>
          <w:rFonts w:ascii="宋体" w:cs="楷体_GB2312"/>
          <w:color w:val="auto"/>
          <w:sz w:val="24"/>
          <w:highlight w:val="none"/>
        </w:rPr>
      </w:pPr>
    </w:p>
    <w:p w14:paraId="33F81135">
      <w:pPr>
        <w:tabs>
          <w:tab w:val="left" w:pos="540"/>
        </w:tabs>
        <w:spacing w:line="440" w:lineRule="exact"/>
        <w:jc w:val="center"/>
        <w:rPr>
          <w:rFonts w:ascii="宋体" w:cs="楷体_GB2312"/>
          <w:color w:val="auto"/>
          <w:sz w:val="24"/>
          <w:highlight w:val="none"/>
        </w:rPr>
      </w:pPr>
    </w:p>
    <w:p w14:paraId="1001DC72">
      <w:pPr>
        <w:tabs>
          <w:tab w:val="left" w:pos="540"/>
        </w:tabs>
        <w:spacing w:line="440" w:lineRule="exact"/>
        <w:jc w:val="center"/>
        <w:rPr>
          <w:rFonts w:ascii="宋体" w:cs="楷体_GB2312"/>
          <w:color w:val="auto"/>
          <w:sz w:val="24"/>
          <w:highlight w:val="none"/>
        </w:rPr>
      </w:pPr>
    </w:p>
    <w:p w14:paraId="407525A3">
      <w:pPr>
        <w:widowControl w:val="0"/>
        <w:tabs>
          <w:tab w:val="left" w:pos="9365"/>
        </w:tabs>
        <w:snapToGrid w:val="0"/>
        <w:spacing w:after="56" w:line="560" w:lineRule="exact"/>
        <w:ind w:right="85"/>
        <w:jc w:val="left"/>
        <w:textAlignment w:val="top"/>
        <w:rPr>
          <w:color w:val="auto"/>
          <w:sz w:val="24"/>
          <w:szCs w:val="24"/>
          <w:highlight w:val="none"/>
        </w:rPr>
      </w:pPr>
      <w:bookmarkStart w:id="57" w:name="OLE_LINK28"/>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4DB29573">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274C8A55">
      <w:pPr>
        <w:autoSpaceDE w:val="0"/>
        <w:autoSpaceDN w:val="0"/>
        <w:adjustRightInd w:val="0"/>
        <w:spacing w:line="360" w:lineRule="auto"/>
        <w:ind w:right="-817"/>
        <w:jc w:val="left"/>
        <w:rPr>
          <w:rFonts w:ascii="宋体" w:cs="楷体_GB2312"/>
          <w:color w:val="auto"/>
          <w:sz w:val="24"/>
          <w:highlight w:val="none"/>
          <w:lang w:val="zh-CN"/>
        </w:rPr>
      </w:pPr>
      <w:r>
        <w:rPr>
          <w:rFonts w:hint="eastAsia" w:ascii="宋体" w:hAnsi="宋体" w:cs="楷体_GB2312"/>
          <w:color w:val="auto"/>
          <w:sz w:val="24"/>
          <w:highlight w:val="none"/>
          <w:lang w:val="zh-CN"/>
        </w:rPr>
        <w:t>日期：   年   月   日</w:t>
      </w:r>
    </w:p>
    <w:p w14:paraId="66A87646">
      <w:pPr>
        <w:tabs>
          <w:tab w:val="left" w:pos="540"/>
        </w:tabs>
        <w:spacing w:line="440" w:lineRule="exact"/>
        <w:jc w:val="center"/>
        <w:rPr>
          <w:color w:val="auto"/>
          <w:sz w:val="28"/>
          <w:highlight w:val="none"/>
        </w:rPr>
      </w:pPr>
      <w:r>
        <w:rPr>
          <w:color w:val="auto"/>
          <w:sz w:val="28"/>
          <w:highlight w:val="none"/>
        </w:rPr>
        <w:br w:type="page"/>
      </w:r>
    </w:p>
    <w:p w14:paraId="7FC9ADF5">
      <w:pPr>
        <w:tabs>
          <w:tab w:val="left" w:pos="540"/>
        </w:tabs>
        <w:spacing w:line="440" w:lineRule="exact"/>
        <w:jc w:val="center"/>
        <w:rPr>
          <w:color w:val="auto"/>
          <w:sz w:val="28"/>
          <w:highlight w:val="none"/>
        </w:rPr>
      </w:pPr>
    </w:p>
    <w:p w14:paraId="07C5103C">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八、关于资格的声明函</w:t>
      </w:r>
      <w:bookmarkEnd w:id="57"/>
    </w:p>
    <w:p w14:paraId="651DC4D3">
      <w:pPr>
        <w:snapToGrid w:val="0"/>
        <w:spacing w:line="560" w:lineRule="exact"/>
        <w:ind w:firstLine="839"/>
        <w:rPr>
          <w:color w:val="auto"/>
          <w:highlight w:val="none"/>
        </w:rPr>
      </w:pPr>
    </w:p>
    <w:p w14:paraId="2C5615A3">
      <w:pPr>
        <w:snapToGrid w:val="0"/>
        <w:spacing w:line="560" w:lineRule="exact"/>
        <w:rPr>
          <w:rFonts w:ascii="宋体"/>
          <w:color w:val="auto"/>
          <w:sz w:val="24"/>
          <w:highlight w:val="none"/>
        </w:rPr>
      </w:pPr>
      <w:r>
        <w:rPr>
          <w:rFonts w:hint="eastAsia" w:ascii="宋体" w:hAnsi="宋体"/>
          <w:color w:val="auto"/>
          <w:sz w:val="24"/>
          <w:highlight w:val="none"/>
        </w:rPr>
        <w:t>安阳市方正招标采购服务有限责任公司：</w:t>
      </w:r>
    </w:p>
    <w:p w14:paraId="7DE14C3D">
      <w:pPr>
        <w:snapToGrid w:val="0"/>
        <w:spacing w:line="560" w:lineRule="exact"/>
        <w:ind w:firstLine="555"/>
        <w:rPr>
          <w:rFonts w:ascii="宋体"/>
          <w:color w:val="auto"/>
          <w:sz w:val="24"/>
          <w:highlight w:val="none"/>
        </w:rPr>
      </w:pPr>
      <w:r>
        <w:rPr>
          <w:rFonts w:hint="eastAsia" w:ascii="宋体" w:hAnsi="宋体"/>
          <w:color w:val="auto"/>
          <w:sz w:val="24"/>
          <w:highlight w:val="none"/>
        </w:rPr>
        <w:t>关于贵方项目编号为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的谈</w:t>
      </w:r>
      <w:r>
        <w:rPr>
          <w:rFonts w:ascii="宋体" w:hAnsi="宋体"/>
          <w:color w:val="auto"/>
          <w:sz w:val="24"/>
          <w:highlight w:val="none"/>
        </w:rPr>
        <w:t>判公告</w:t>
      </w:r>
      <w:r>
        <w:rPr>
          <w:rFonts w:hint="eastAsia" w:ascii="宋体" w:hAnsi="宋体"/>
          <w:color w:val="auto"/>
          <w:sz w:val="24"/>
          <w:highlight w:val="none"/>
        </w:rPr>
        <w:t>，本签字人愿意参加投标，提供谈判文件中规定的产品及服务，并声明提交下列文件是准确的、真实的和有效的。</w:t>
      </w:r>
    </w:p>
    <w:p w14:paraId="124D53F6">
      <w:pPr>
        <w:numPr>
          <w:ilvl w:val="0"/>
          <w:numId w:val="2"/>
        </w:numPr>
        <w:snapToGrid w:val="0"/>
        <w:spacing w:line="560" w:lineRule="exact"/>
        <w:ind w:firstLine="555"/>
        <w:rPr>
          <w:rFonts w:ascii="宋体" w:hAnsi="宋体"/>
          <w:color w:val="auto"/>
          <w:sz w:val="24"/>
          <w:highlight w:val="none"/>
        </w:rPr>
      </w:pPr>
      <w:r>
        <w:rPr>
          <w:rFonts w:hint="eastAsia" w:ascii="宋体" w:hAnsi="宋体"/>
          <w:color w:val="auto"/>
          <w:sz w:val="24"/>
          <w:highlight w:val="none"/>
        </w:rPr>
        <w:t>《谈判文件》第一章“谈判公告”第二条所要求的资格性证明文件（证件或证明资料或承诺）</w:t>
      </w:r>
    </w:p>
    <w:p w14:paraId="426452E2">
      <w:pPr>
        <w:snapToGrid w:val="0"/>
        <w:spacing w:line="560" w:lineRule="exact"/>
        <w:ind w:firstLine="555"/>
        <w:rPr>
          <w:rFonts w:asci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采购项目中必须的其他证件。</w:t>
      </w:r>
    </w:p>
    <w:p w14:paraId="7151B198">
      <w:pPr>
        <w:snapToGrid w:val="0"/>
        <w:spacing w:line="560" w:lineRule="exact"/>
        <w:ind w:firstLine="555"/>
        <w:rPr>
          <w:rFonts w:asci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本签字人确认资格文件中的说明是真实的、准确的。</w:t>
      </w:r>
    </w:p>
    <w:p w14:paraId="2F9E5FA4">
      <w:pPr>
        <w:snapToGrid w:val="0"/>
        <w:spacing w:line="560" w:lineRule="exact"/>
        <w:ind w:firstLine="555"/>
        <w:rPr>
          <w:rFonts w:ascii="宋体"/>
          <w:color w:val="auto"/>
          <w:sz w:val="24"/>
          <w:highlight w:val="none"/>
        </w:rPr>
      </w:pPr>
    </w:p>
    <w:p w14:paraId="3FFE59EA">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704BFA83">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06FB8474">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3B86FD9E">
      <w:pPr>
        <w:snapToGrid w:val="0"/>
        <w:spacing w:line="560" w:lineRule="exact"/>
        <w:rPr>
          <w:rFonts w:ascii="宋体"/>
          <w:color w:val="auto"/>
          <w:sz w:val="24"/>
          <w:highlight w:val="none"/>
        </w:rPr>
      </w:pPr>
    </w:p>
    <w:p w14:paraId="372406E5">
      <w:pPr>
        <w:tabs>
          <w:tab w:val="left" w:pos="540"/>
        </w:tabs>
        <w:spacing w:line="440" w:lineRule="exact"/>
        <w:jc w:val="center"/>
        <w:rPr>
          <w:color w:val="auto"/>
          <w:sz w:val="28"/>
          <w:highlight w:val="none"/>
        </w:rPr>
      </w:pPr>
      <w:r>
        <w:rPr>
          <w:rFonts w:ascii="宋体"/>
          <w:color w:val="auto"/>
          <w:sz w:val="24"/>
          <w:highlight w:val="none"/>
        </w:rPr>
        <w:br w:type="page"/>
      </w:r>
    </w:p>
    <w:p w14:paraId="51071072">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九、反商业贿赂承诺书</w:t>
      </w:r>
    </w:p>
    <w:p w14:paraId="1E07F471">
      <w:pPr>
        <w:rPr>
          <w:b/>
          <w:color w:val="auto"/>
          <w:sz w:val="48"/>
          <w:szCs w:val="48"/>
          <w:highlight w:val="none"/>
        </w:rPr>
      </w:pPr>
    </w:p>
    <w:p w14:paraId="0F8B36F8">
      <w:pPr>
        <w:snapToGrid w:val="0"/>
        <w:spacing w:line="560" w:lineRule="atLeast"/>
        <w:ind w:right="56" w:firstLine="555"/>
        <w:rPr>
          <w:color w:val="auto"/>
          <w:sz w:val="24"/>
          <w:highlight w:val="none"/>
        </w:rPr>
      </w:pPr>
      <w:r>
        <w:rPr>
          <w:rFonts w:hint="eastAsia"/>
          <w:color w:val="auto"/>
          <w:sz w:val="24"/>
          <w:highlight w:val="none"/>
        </w:rPr>
        <w:t>我公司承诺：</w:t>
      </w:r>
    </w:p>
    <w:p w14:paraId="001ADF20">
      <w:pPr>
        <w:snapToGrid w:val="0"/>
        <w:spacing w:line="560" w:lineRule="atLeast"/>
        <w:ind w:right="56" w:firstLine="555"/>
        <w:rPr>
          <w:color w:val="auto"/>
          <w:sz w:val="24"/>
          <w:highlight w:val="none"/>
        </w:rPr>
      </w:pPr>
      <w:r>
        <w:rPr>
          <w:rFonts w:hint="eastAsia"/>
          <w:color w:val="auto"/>
          <w:sz w:val="24"/>
          <w:highlight w:val="none"/>
        </w:rPr>
        <w:t>在采购活动中，我公司保证做到：</w:t>
      </w:r>
    </w:p>
    <w:p w14:paraId="61EBAFB5">
      <w:pPr>
        <w:snapToGrid w:val="0"/>
        <w:spacing w:line="560" w:lineRule="atLeast"/>
        <w:ind w:right="56" w:firstLine="555"/>
        <w:rPr>
          <w:color w:val="auto"/>
          <w:sz w:val="24"/>
          <w:highlight w:val="none"/>
        </w:rPr>
      </w:pPr>
      <w:r>
        <w:rPr>
          <w:rFonts w:hint="eastAsia"/>
          <w:color w:val="auto"/>
          <w:sz w:val="24"/>
          <w:highlight w:val="none"/>
        </w:rPr>
        <w:t>一、公平竞争参加本次采购活动。</w:t>
      </w:r>
    </w:p>
    <w:p w14:paraId="05D62DDF">
      <w:pPr>
        <w:snapToGrid w:val="0"/>
        <w:spacing w:line="560" w:lineRule="atLeast"/>
        <w:ind w:right="56" w:firstLine="555"/>
        <w:rPr>
          <w:color w:val="auto"/>
          <w:sz w:val="24"/>
          <w:highlight w:val="none"/>
        </w:rPr>
      </w:pPr>
      <w:r>
        <w:rPr>
          <w:rFonts w:hint="eastAsia"/>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B0BDD82">
      <w:pPr>
        <w:snapToGrid w:val="0"/>
        <w:spacing w:line="560" w:lineRule="atLeast"/>
        <w:ind w:right="56" w:firstLine="555"/>
        <w:rPr>
          <w:color w:val="auto"/>
          <w:sz w:val="24"/>
          <w:highlight w:val="none"/>
        </w:rPr>
      </w:pPr>
      <w:r>
        <w:rPr>
          <w:rFonts w:hint="eastAsia"/>
          <w:color w:val="auto"/>
          <w:sz w:val="24"/>
          <w:highlight w:val="none"/>
        </w:rPr>
        <w:t>三、若出现上述行为，我公司及其参与投标的工作人员愿意接受按照国家法律法规等有关规定给予的处罚。</w:t>
      </w:r>
    </w:p>
    <w:p w14:paraId="2E9997E5">
      <w:pPr>
        <w:snapToGrid w:val="0"/>
        <w:spacing w:line="560" w:lineRule="atLeast"/>
        <w:ind w:right="56" w:firstLine="555"/>
        <w:rPr>
          <w:color w:val="auto"/>
          <w:sz w:val="24"/>
          <w:highlight w:val="none"/>
        </w:rPr>
      </w:pPr>
    </w:p>
    <w:p w14:paraId="5EBDAFC4">
      <w:pPr>
        <w:snapToGrid w:val="0"/>
        <w:spacing w:line="560" w:lineRule="atLeast"/>
        <w:ind w:right="56" w:firstLine="555"/>
        <w:rPr>
          <w:color w:val="auto"/>
          <w:sz w:val="24"/>
          <w:highlight w:val="none"/>
        </w:rPr>
      </w:pPr>
    </w:p>
    <w:p w14:paraId="6E8849D3">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07CDBAD3">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7CE3BDE2">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B2EF0E0">
      <w:pPr>
        <w:tabs>
          <w:tab w:val="left" w:pos="540"/>
        </w:tabs>
        <w:spacing w:line="440" w:lineRule="exact"/>
        <w:jc w:val="center"/>
        <w:rPr>
          <w:color w:val="auto"/>
          <w:highlight w:val="none"/>
        </w:rPr>
      </w:pPr>
      <w:r>
        <w:rPr>
          <w:color w:val="auto"/>
          <w:highlight w:val="none"/>
        </w:rPr>
        <w:br w:type="page"/>
      </w:r>
    </w:p>
    <w:p w14:paraId="490D0FDA">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十、</w:t>
      </w:r>
      <w:bookmarkStart w:id="58" w:name="OLE_LINK19"/>
      <w:r>
        <w:rPr>
          <w:rFonts w:hint="eastAsia" w:ascii="黑体" w:hAnsi="黑体" w:eastAsia="黑体"/>
          <w:b/>
          <w:color w:val="auto"/>
          <w:sz w:val="30"/>
          <w:szCs w:val="30"/>
          <w:highlight w:val="none"/>
        </w:rPr>
        <w:t>履约承诺书</w:t>
      </w:r>
      <w:bookmarkEnd w:id="58"/>
    </w:p>
    <w:p w14:paraId="75492839">
      <w:pPr>
        <w:adjustRightInd w:val="0"/>
        <w:snapToGrid w:val="0"/>
        <w:spacing w:before="156" w:beforeLines="50" w:line="300" w:lineRule="auto"/>
        <w:ind w:right="56" w:firstLine="555"/>
        <w:rPr>
          <w:color w:val="auto"/>
          <w:sz w:val="24"/>
          <w:highlight w:val="none"/>
        </w:rPr>
      </w:pPr>
      <w:r>
        <w:rPr>
          <w:rFonts w:hint="eastAsia"/>
          <w:color w:val="auto"/>
          <w:sz w:val="24"/>
          <w:highlight w:val="none"/>
        </w:rPr>
        <w:t>一、我单位承诺：</w:t>
      </w:r>
    </w:p>
    <w:p w14:paraId="7D7EBACC">
      <w:pPr>
        <w:adjustRightInd w:val="0"/>
        <w:snapToGrid w:val="0"/>
        <w:spacing w:before="156" w:beforeLines="50" w:line="300" w:lineRule="auto"/>
        <w:ind w:firstLine="555"/>
        <w:rPr>
          <w:color w:val="auto"/>
          <w:sz w:val="24"/>
          <w:highlight w:val="none"/>
        </w:rPr>
      </w:pPr>
      <w:r>
        <w:rPr>
          <w:rFonts w:hint="eastAsia"/>
          <w:color w:val="auto"/>
          <w:sz w:val="24"/>
          <w:highlight w:val="none"/>
        </w:rPr>
        <w:t>（一）我单位已详细阅读并完全理解、同意谈判文件的全部内容，包括修改补充文件以及全部参考资料和有关附件；除我单位在谈判文件规定期间内书面提出的疑问外，我单位放弃对这方面不明及误解的权力，并严格按采购人确定的技术及商务要求等履行。</w:t>
      </w:r>
    </w:p>
    <w:p w14:paraId="72F47299">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二）我单位开标前已详细勘察现场，并按采购人现场条件及采购要求编制投标报价；我单位的投标报价括谈判文件所述报价组成的所有内容、并包括谈判文件未列明而与采购项目相关的、必须的所有款项及费用等达到交付使用及验收条件的所有一切风险、责任和义务的费用。</w:t>
      </w:r>
    </w:p>
    <w:p w14:paraId="2BC84556">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我单位保证按谈判文件要求及投标承诺的质量诚信履约。</w:t>
      </w:r>
    </w:p>
    <w:p w14:paraId="1D03B744">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三）我单位保证在谈判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19A303A1">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二、我单位承诺：</w:t>
      </w:r>
    </w:p>
    <w:p w14:paraId="62664B37">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除法律规定的不可抗力因素外，我单位中标后以任何理由（包括违背上述承诺的事项）提出不能满足谈判文件技术、服务期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w:t>
      </w:r>
      <w:r>
        <w:rPr>
          <w:rFonts w:hint="eastAsia" w:ascii="宋体" w:hAnsi="宋体" w:cs="楷体_GB2312"/>
          <w:color w:val="auto"/>
          <w:sz w:val="24"/>
          <w:szCs w:val="22"/>
          <w:highlight w:val="none"/>
        </w:rPr>
        <w:t>承担相应法律责任及违约责任。</w:t>
      </w:r>
      <w:r>
        <w:rPr>
          <w:rFonts w:hint="eastAsia"/>
          <w:color w:val="auto"/>
          <w:sz w:val="24"/>
          <w:highlight w:val="none"/>
        </w:rPr>
        <w:t>情节严重的，由财政部门列入不良行为记录名单，在一至三年内禁止参加政府采购活动，并予以通报，处以罚金，给采购人及他人造成损失的，承担相应的赔偿责任。</w:t>
      </w:r>
    </w:p>
    <w:p w14:paraId="440A6905">
      <w:pPr>
        <w:tabs>
          <w:tab w:val="left" w:pos="9354"/>
        </w:tabs>
        <w:adjustRightInd w:val="0"/>
        <w:snapToGrid w:val="0"/>
        <w:spacing w:before="156" w:beforeLines="50" w:line="300" w:lineRule="auto"/>
        <w:ind w:firstLine="480" w:firstLineChars="200"/>
        <w:rPr>
          <w:color w:val="auto"/>
          <w:sz w:val="24"/>
          <w:highlight w:val="none"/>
        </w:rPr>
      </w:pPr>
    </w:p>
    <w:p w14:paraId="5385A10B">
      <w:pPr>
        <w:tabs>
          <w:tab w:val="left" w:pos="9354"/>
        </w:tabs>
        <w:adjustRightInd w:val="0"/>
        <w:snapToGrid w:val="0"/>
        <w:spacing w:before="156" w:beforeLines="50" w:line="300" w:lineRule="auto"/>
        <w:ind w:firstLine="480" w:firstLineChars="200"/>
        <w:rPr>
          <w:color w:val="auto"/>
          <w:sz w:val="24"/>
          <w:highlight w:val="none"/>
        </w:rPr>
      </w:pPr>
    </w:p>
    <w:p w14:paraId="47278E24">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07108D2A">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6ED83499">
      <w:pPr>
        <w:autoSpaceDE w:val="0"/>
        <w:autoSpaceDN w:val="0"/>
        <w:adjustRightInd w:val="0"/>
        <w:spacing w:line="360" w:lineRule="auto"/>
        <w:jc w:val="left"/>
        <w:rPr>
          <w:rFonts w:eastAsia="方正黑体简体"/>
          <w:b/>
          <w:color w:val="auto"/>
          <w:sz w:val="30"/>
          <w:szCs w:val="30"/>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365620C">
      <w:pPr>
        <w:spacing w:line="240" w:lineRule="auto"/>
        <w:jc w:val="left"/>
        <w:textAlignment w:val="auto"/>
        <w:rPr>
          <w:rFonts w:eastAsia="方正黑体简体"/>
          <w:b/>
          <w:color w:val="auto"/>
          <w:sz w:val="30"/>
          <w:szCs w:val="30"/>
          <w:highlight w:val="none"/>
        </w:rPr>
      </w:pPr>
      <w:r>
        <w:rPr>
          <w:rFonts w:eastAsia="方正黑体简体"/>
          <w:b/>
          <w:color w:val="auto"/>
          <w:sz w:val="30"/>
          <w:szCs w:val="30"/>
          <w:highlight w:val="none"/>
        </w:rPr>
        <w:br w:type="page"/>
      </w:r>
    </w:p>
    <w:p w14:paraId="646BF1BD">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十一、资格要求相关证明材料（文件）</w:t>
      </w:r>
    </w:p>
    <w:p w14:paraId="402ADA44">
      <w:pPr>
        <w:autoSpaceDE w:val="0"/>
        <w:autoSpaceDN w:val="0"/>
        <w:adjustRightInd w:val="0"/>
        <w:spacing w:line="360" w:lineRule="auto"/>
        <w:jc w:val="center"/>
        <w:rPr>
          <w:rFonts w:ascii="宋体"/>
          <w:color w:val="auto"/>
          <w:sz w:val="24"/>
          <w:szCs w:val="24"/>
          <w:highlight w:val="none"/>
        </w:rPr>
      </w:pPr>
    </w:p>
    <w:p w14:paraId="34A24C6B">
      <w:pPr>
        <w:autoSpaceDE w:val="0"/>
        <w:autoSpaceDN w:val="0"/>
        <w:adjustRightInd w:val="0"/>
        <w:spacing w:line="360" w:lineRule="auto"/>
        <w:jc w:val="center"/>
        <w:rPr>
          <w:rFonts w:ascii="黑体" w:hAnsi="黑体" w:eastAsia="黑体"/>
          <w:b/>
          <w:color w:val="auto"/>
          <w:sz w:val="24"/>
          <w:szCs w:val="24"/>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请注意：未按公告要求逐一提交资格证明资料的将导致无效投标，为近期常见的因不仔细而缺少某一资格证明资料、导致无效，特此提醒】</w:t>
      </w:r>
    </w:p>
    <w:p w14:paraId="2CCCD31D">
      <w:pPr>
        <w:autoSpaceDE w:val="0"/>
        <w:autoSpaceDN w:val="0"/>
        <w:adjustRightInd w:val="0"/>
        <w:spacing w:line="360" w:lineRule="auto"/>
        <w:jc w:val="center"/>
        <w:rPr>
          <w:rFonts w:ascii="宋体"/>
          <w:color w:val="auto"/>
          <w:sz w:val="24"/>
          <w:szCs w:val="24"/>
          <w:highlight w:val="none"/>
        </w:rPr>
      </w:pPr>
    </w:p>
    <w:p w14:paraId="68DB4EB9">
      <w:pPr>
        <w:spacing w:line="588" w:lineRule="exact"/>
        <w:jc w:val="center"/>
        <w:rPr>
          <w:rFonts w:ascii="黑体" w:hAnsi="黑体" w:eastAsia="黑体"/>
          <w:b/>
          <w:color w:val="auto"/>
          <w:sz w:val="30"/>
          <w:szCs w:val="30"/>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请注意：未按谈判公告要求电子签名&lt;签章&gt;的将导致无效投标，特此提醒】</w:t>
      </w:r>
      <w:r>
        <w:rPr>
          <w:rFonts w:ascii="黑体" w:hAnsi="黑体" w:eastAsia="黑体"/>
          <w:b/>
          <w:color w:val="auto"/>
          <w:sz w:val="30"/>
          <w:szCs w:val="30"/>
          <w:highlight w:val="none"/>
        </w:rPr>
        <w:br w:type="page"/>
      </w:r>
    </w:p>
    <w:p w14:paraId="6C718729">
      <w:pPr>
        <w:spacing w:line="588" w:lineRule="exact"/>
        <w:jc w:val="center"/>
        <w:rPr>
          <w:rFonts w:ascii="黑体" w:hAnsi="黑体" w:eastAsia="黑体"/>
          <w:b/>
          <w:color w:val="auto"/>
          <w:sz w:val="30"/>
          <w:szCs w:val="30"/>
          <w:highlight w:val="none"/>
        </w:rPr>
      </w:pPr>
      <w:r>
        <w:rPr>
          <w:rFonts w:ascii="黑体" w:hAnsi="黑体" w:eastAsia="黑体"/>
          <w:b/>
          <w:color w:val="auto"/>
          <w:sz w:val="30"/>
          <w:szCs w:val="30"/>
          <w:highlight w:val="none"/>
        </w:rPr>
        <w:t>中小企业声明函</w:t>
      </w:r>
      <w:r>
        <w:rPr>
          <w:rFonts w:hint="eastAsia" w:ascii="黑体" w:hAnsi="黑体" w:eastAsia="黑体"/>
          <w:b/>
          <w:color w:val="auto"/>
          <w:sz w:val="30"/>
          <w:szCs w:val="30"/>
          <w:highlight w:val="none"/>
        </w:rPr>
        <w:t xml:space="preserve">  </w:t>
      </w:r>
    </w:p>
    <w:p w14:paraId="473896FB">
      <w:pPr>
        <w:pStyle w:val="58"/>
        <w:shd w:val="clear" w:color="auto" w:fill="auto"/>
        <w:spacing w:after="0" w:line="518" w:lineRule="exact"/>
        <w:ind w:firstLine="680"/>
        <w:jc w:val="both"/>
        <w:rPr>
          <w:rFonts w:ascii="宋体" w:hAnsi="宋体" w:eastAsia="宋体"/>
          <w:color w:val="auto"/>
          <w:sz w:val="24"/>
          <w:szCs w:val="24"/>
          <w:highlight w:val="none"/>
        </w:rPr>
      </w:pPr>
    </w:p>
    <w:p w14:paraId="5A375CC6">
      <w:pPr>
        <w:pStyle w:val="58"/>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本公司（联合体）郑重声明，根据《政府采购促进中小企业发展管理办法》（财库〔2020〕46号）的规定，本公司 (联合体</w:t>
      </w:r>
      <w:r>
        <w:rPr>
          <w:rFonts w:ascii="宋体" w:hAnsi="宋体" w:eastAsia="宋体"/>
          <w:i/>
          <w:color w:val="auto"/>
          <w:sz w:val="24"/>
          <w:szCs w:val="24"/>
          <w:highlight w:val="none"/>
        </w:rPr>
        <w:t>）</w:t>
      </w:r>
      <w:r>
        <w:rPr>
          <w:rStyle w:val="59"/>
          <w:rFonts w:ascii="宋体" w:hAnsi="宋体" w:eastAsia="宋体"/>
          <w:i w:val="0"/>
          <w:color w:val="auto"/>
          <w:sz w:val="24"/>
          <w:szCs w:val="24"/>
          <w:highlight w:val="none"/>
        </w:rPr>
        <w:t>参加</w:t>
      </w:r>
      <w:r>
        <w:rPr>
          <w:rStyle w:val="59"/>
          <w:rFonts w:ascii="宋体" w:hAnsi="宋体" w:eastAsia="宋体"/>
          <w:i w:val="0"/>
          <w:color w:val="auto"/>
          <w:sz w:val="24"/>
          <w:szCs w:val="24"/>
          <w:highlight w:val="none"/>
          <w:u w:val="single"/>
        </w:rPr>
        <w:t>（单位名称）</w:t>
      </w:r>
      <w:r>
        <w:rPr>
          <w:rStyle w:val="59"/>
          <w:rFonts w:ascii="宋体" w:hAnsi="宋体" w:eastAsia="宋体"/>
          <w:i w:val="0"/>
          <w:color w:val="auto"/>
          <w:sz w:val="24"/>
          <w:szCs w:val="24"/>
          <w:highlight w:val="none"/>
        </w:rPr>
        <w:t>的</w:t>
      </w:r>
      <w:r>
        <w:rPr>
          <w:rStyle w:val="59"/>
          <w:rFonts w:ascii="宋体" w:hAnsi="宋体" w:eastAsia="宋体"/>
          <w:i w:val="0"/>
          <w:color w:val="auto"/>
          <w:sz w:val="24"/>
          <w:szCs w:val="24"/>
          <w:highlight w:val="none"/>
          <w:u w:val="single"/>
        </w:rPr>
        <w:t>（项目名称）</w:t>
      </w:r>
      <w:r>
        <w:rPr>
          <w:rStyle w:val="59"/>
          <w:rFonts w:ascii="宋体" w:hAnsi="宋体" w:eastAsia="宋体"/>
          <w:i w:val="0"/>
          <w:color w:val="auto"/>
          <w:sz w:val="24"/>
          <w:szCs w:val="24"/>
          <w:highlight w:val="none"/>
        </w:rPr>
        <w:t>采购活动，</w:t>
      </w:r>
      <w:r>
        <w:rPr>
          <w:rFonts w:hint="eastAsia" w:ascii="宋体" w:hAnsi="宋体" w:eastAsia="宋体"/>
          <w:color w:val="auto"/>
          <w:sz w:val="24"/>
          <w:szCs w:val="24"/>
          <w:highlight w:val="none"/>
        </w:rPr>
        <w:t>服务</w:t>
      </w:r>
      <w:r>
        <w:rPr>
          <w:rFonts w:ascii="宋体" w:hAnsi="宋体" w:eastAsia="宋体"/>
          <w:color w:val="auto"/>
          <w:sz w:val="24"/>
          <w:szCs w:val="24"/>
          <w:highlight w:val="none"/>
        </w:rPr>
        <w:t>全部</w:t>
      </w:r>
      <w:r>
        <w:rPr>
          <w:rFonts w:hint="eastAsia" w:ascii="宋体" w:hAnsi="宋体" w:eastAsia="宋体"/>
          <w:color w:val="auto"/>
          <w:sz w:val="24"/>
          <w:szCs w:val="24"/>
          <w:highlight w:val="none"/>
        </w:rPr>
        <w:t>由</w:t>
      </w:r>
      <w:r>
        <w:rPr>
          <w:rFonts w:ascii="宋体" w:hAnsi="宋体" w:eastAsia="宋体"/>
          <w:color w:val="auto"/>
          <w:sz w:val="24"/>
          <w:szCs w:val="24"/>
          <w:highlight w:val="none"/>
        </w:rPr>
        <w:t>符合政策要求的中小企业</w:t>
      </w:r>
      <w:r>
        <w:rPr>
          <w:rFonts w:hint="eastAsia" w:ascii="宋体" w:hAnsi="宋体" w:eastAsia="宋体"/>
          <w:color w:val="auto"/>
          <w:sz w:val="24"/>
          <w:szCs w:val="24"/>
          <w:highlight w:val="none"/>
        </w:rPr>
        <w:t>承接</w:t>
      </w:r>
      <w:r>
        <w:rPr>
          <w:rFonts w:ascii="宋体" w:hAnsi="宋体" w:eastAsia="宋体"/>
          <w:color w:val="auto"/>
          <w:sz w:val="24"/>
          <w:szCs w:val="24"/>
          <w:highlight w:val="none"/>
        </w:rPr>
        <w:t>。相关企业</w:t>
      </w:r>
      <w:r>
        <w:rPr>
          <w:rFonts w:ascii="宋体" w:hAnsi="宋体" w:eastAsia="宋体"/>
          <w:color w:val="auto"/>
          <w:sz w:val="24"/>
          <w:szCs w:val="24"/>
          <w:highlight w:val="none"/>
          <w:lang w:bidi="en-US"/>
        </w:rPr>
        <w:t>（</w:t>
      </w:r>
      <w:r>
        <w:rPr>
          <w:rFonts w:ascii="宋体" w:hAnsi="宋体" w:eastAsia="宋体"/>
          <w:color w:val="auto"/>
          <w:sz w:val="24"/>
          <w:szCs w:val="24"/>
          <w:highlight w:val="none"/>
        </w:rPr>
        <w:t>含联合体中的中小企业、签订分包意向协议的中小企业）的具体情况如下：</w:t>
      </w:r>
    </w:p>
    <w:p w14:paraId="4C967AA4">
      <w:pPr>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iCs/>
          <w:color w:val="auto"/>
          <w:sz w:val="24"/>
          <w:szCs w:val="24"/>
          <w:highlight w:val="none"/>
          <w:u w:val="single"/>
        </w:rPr>
        <w:t>(标的名称)</w:t>
      </w:r>
      <w:r>
        <w:rPr>
          <w:rFonts w:ascii="宋体" w:hAnsi="宋体"/>
          <w:iCs/>
          <w:color w:val="auto"/>
          <w:sz w:val="24"/>
          <w:szCs w:val="24"/>
          <w:highlight w:val="none"/>
        </w:rPr>
        <w:t>，</w:t>
      </w:r>
      <w:r>
        <w:rPr>
          <w:rFonts w:ascii="宋体" w:hAnsi="宋体"/>
          <w:color w:val="auto"/>
          <w:sz w:val="24"/>
          <w:szCs w:val="24"/>
          <w:highlight w:val="none"/>
        </w:rPr>
        <w:t>属于</w:t>
      </w:r>
      <w:r>
        <w:rPr>
          <w:rFonts w:ascii="宋体" w:hAnsi="宋体"/>
          <w:iCs/>
          <w:color w:val="auto"/>
          <w:sz w:val="24"/>
          <w:szCs w:val="24"/>
          <w:highlight w:val="none"/>
          <w:u w:val="single"/>
        </w:rPr>
        <w:t>（采购文件中明确的所属行业)</w:t>
      </w:r>
      <w:r>
        <w:rPr>
          <w:rFonts w:hint="eastAsia" w:ascii="宋体" w:hAnsi="宋体"/>
          <w:iCs/>
          <w:color w:val="auto"/>
          <w:sz w:val="24"/>
          <w:szCs w:val="24"/>
          <w:highlight w:val="none"/>
        </w:rPr>
        <w:t>，</w:t>
      </w:r>
      <w:r>
        <w:rPr>
          <w:rFonts w:ascii="宋体" w:hAnsi="宋体"/>
          <w:color w:val="auto"/>
          <w:sz w:val="24"/>
          <w:szCs w:val="24"/>
          <w:highlight w:val="none"/>
        </w:rPr>
        <w:t>承</w:t>
      </w:r>
      <w:r>
        <w:rPr>
          <w:rFonts w:hint="eastAsia" w:ascii="宋体" w:hAnsi="宋体"/>
          <w:color w:val="auto"/>
          <w:sz w:val="24"/>
          <w:szCs w:val="24"/>
          <w:highlight w:val="none"/>
        </w:rPr>
        <w:t>接</w:t>
      </w:r>
      <w:r>
        <w:rPr>
          <w:rFonts w:ascii="宋体" w:hAnsi="宋体"/>
          <w:iCs/>
          <w:color w:val="auto"/>
          <w:sz w:val="24"/>
          <w:szCs w:val="24"/>
          <w:highlight w:val="none"/>
        </w:rPr>
        <w:t>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w:t>
      </w:r>
      <w:r>
        <w:rPr>
          <w:rFonts w:ascii="宋体" w:hAnsi="宋体"/>
          <w:iCs/>
          <w:color w:val="auto"/>
          <w:sz w:val="24"/>
          <w:szCs w:val="24"/>
          <w:highlight w:val="none"/>
        </w:rPr>
        <w:t>入为</w:t>
      </w:r>
      <w:r>
        <w:rPr>
          <w:rFonts w:ascii="宋体" w:hAnsi="宋体"/>
          <w:iCs/>
          <w:color w:val="auto"/>
          <w:sz w:val="24"/>
          <w:szCs w:val="24"/>
          <w:highlight w:val="none"/>
          <w:u w:val="single"/>
        </w:rPr>
        <w:t>_</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rPr>
        <w:t>万元，资产总额为</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u w:val="single"/>
        </w:rPr>
        <w:t>_</w:t>
      </w:r>
      <w:r>
        <w:rPr>
          <w:rFonts w:ascii="宋体" w:hAnsi="宋体"/>
          <w:iCs/>
          <w:color w:val="auto"/>
          <w:sz w:val="24"/>
          <w:szCs w:val="24"/>
          <w:highlight w:val="none"/>
        </w:rPr>
        <w:t>万元</w:t>
      </w:r>
      <w:r>
        <w:rPr>
          <w:rFonts w:hint="eastAsia" w:ascii="宋体" w:hAnsi="宋体"/>
          <w:iCs/>
          <w:color w:val="auto"/>
          <w:sz w:val="24"/>
          <w:szCs w:val="24"/>
          <w:highlight w:val="none"/>
          <w:vertAlign w:val="superscript"/>
        </w:rPr>
        <w:t>1</w:t>
      </w:r>
      <w:r>
        <w:rPr>
          <w:rFonts w:hint="eastAsia" w:ascii="宋体" w:hAnsi="宋体"/>
          <w:iCs/>
          <w:color w:val="auto"/>
          <w:sz w:val="24"/>
          <w:szCs w:val="24"/>
          <w:highlight w:val="none"/>
        </w:rPr>
        <w:t>，按采购文件中明确的所属行业</w:t>
      </w:r>
      <w:r>
        <w:rPr>
          <w:rFonts w:ascii="宋体" w:hAnsi="宋体"/>
          <w:color w:val="auto"/>
          <w:sz w:val="24"/>
          <w:szCs w:val="24"/>
          <w:highlight w:val="none"/>
        </w:rPr>
        <w:t>属于</w:t>
      </w:r>
      <w:r>
        <w:rPr>
          <w:rFonts w:ascii="宋体" w:hAnsi="宋体"/>
          <w:iCs/>
          <w:color w:val="auto"/>
          <w:sz w:val="24"/>
          <w:szCs w:val="24"/>
          <w:highlight w:val="none"/>
          <w:u w:val="single"/>
        </w:rPr>
        <w:t>（中型企业、小型企业、微型企业）</w:t>
      </w:r>
      <w:r>
        <w:rPr>
          <w:rFonts w:hint="eastAsia" w:ascii="宋体" w:hAnsi="宋体"/>
          <w:color w:val="auto"/>
          <w:sz w:val="24"/>
          <w:szCs w:val="24"/>
          <w:highlight w:val="none"/>
        </w:rPr>
        <w:t>；</w:t>
      </w:r>
    </w:p>
    <w:p w14:paraId="41C457D2">
      <w:pPr>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iCs/>
          <w:color w:val="auto"/>
          <w:sz w:val="24"/>
          <w:szCs w:val="24"/>
          <w:highlight w:val="none"/>
          <w:u w:val="single"/>
        </w:rPr>
        <w:t>(标的名称)</w:t>
      </w:r>
      <w:r>
        <w:rPr>
          <w:rFonts w:ascii="宋体" w:hAnsi="宋体"/>
          <w:iCs/>
          <w:color w:val="auto"/>
          <w:sz w:val="24"/>
          <w:szCs w:val="24"/>
          <w:highlight w:val="none"/>
        </w:rPr>
        <w:t>，</w:t>
      </w:r>
      <w:r>
        <w:rPr>
          <w:rFonts w:ascii="宋体" w:hAnsi="宋体"/>
          <w:color w:val="auto"/>
          <w:sz w:val="24"/>
          <w:szCs w:val="24"/>
          <w:highlight w:val="none"/>
        </w:rPr>
        <w:t>属于</w:t>
      </w:r>
      <w:r>
        <w:rPr>
          <w:rFonts w:ascii="宋体" w:hAnsi="宋体"/>
          <w:iCs/>
          <w:color w:val="auto"/>
          <w:sz w:val="24"/>
          <w:szCs w:val="24"/>
          <w:highlight w:val="none"/>
          <w:u w:val="single"/>
        </w:rPr>
        <w:t>（采购文件中明确的所属行业)</w:t>
      </w:r>
      <w:r>
        <w:rPr>
          <w:rFonts w:hint="eastAsia" w:ascii="宋体" w:hAnsi="宋体"/>
          <w:iCs/>
          <w:color w:val="auto"/>
          <w:sz w:val="24"/>
          <w:szCs w:val="24"/>
          <w:highlight w:val="none"/>
        </w:rPr>
        <w:t>，</w:t>
      </w:r>
      <w:r>
        <w:rPr>
          <w:rFonts w:ascii="宋体" w:hAnsi="宋体"/>
          <w:color w:val="auto"/>
          <w:sz w:val="24"/>
          <w:szCs w:val="24"/>
          <w:highlight w:val="none"/>
        </w:rPr>
        <w:t>承</w:t>
      </w:r>
      <w:r>
        <w:rPr>
          <w:rFonts w:hint="eastAsia" w:ascii="宋体" w:hAnsi="宋体"/>
          <w:color w:val="auto"/>
          <w:sz w:val="24"/>
          <w:szCs w:val="24"/>
          <w:highlight w:val="none"/>
        </w:rPr>
        <w:t>接</w:t>
      </w:r>
      <w:r>
        <w:rPr>
          <w:rFonts w:ascii="宋体" w:hAnsi="宋体"/>
          <w:iCs/>
          <w:color w:val="auto"/>
          <w:sz w:val="24"/>
          <w:szCs w:val="24"/>
          <w:highlight w:val="none"/>
        </w:rPr>
        <w:t>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w:t>
      </w:r>
      <w:r>
        <w:rPr>
          <w:rFonts w:ascii="宋体" w:hAnsi="宋体"/>
          <w:iCs/>
          <w:color w:val="auto"/>
          <w:sz w:val="24"/>
          <w:szCs w:val="24"/>
          <w:highlight w:val="none"/>
        </w:rPr>
        <w:t>入为</w:t>
      </w:r>
      <w:r>
        <w:rPr>
          <w:rFonts w:ascii="宋体" w:hAnsi="宋体"/>
          <w:iCs/>
          <w:color w:val="auto"/>
          <w:sz w:val="24"/>
          <w:szCs w:val="24"/>
          <w:highlight w:val="none"/>
          <w:u w:val="single"/>
        </w:rPr>
        <w:t>_</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rPr>
        <w:t>万元，资产总额为</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u w:val="single"/>
        </w:rPr>
        <w:t>_</w:t>
      </w:r>
      <w:r>
        <w:rPr>
          <w:rFonts w:ascii="宋体" w:hAnsi="宋体"/>
          <w:iCs/>
          <w:color w:val="auto"/>
          <w:sz w:val="24"/>
          <w:szCs w:val="24"/>
          <w:highlight w:val="none"/>
        </w:rPr>
        <w:t>万元</w:t>
      </w:r>
      <w:r>
        <w:rPr>
          <w:rFonts w:hint="eastAsia" w:ascii="宋体" w:hAnsi="宋体"/>
          <w:iCs/>
          <w:color w:val="auto"/>
          <w:sz w:val="24"/>
          <w:szCs w:val="24"/>
          <w:highlight w:val="none"/>
        </w:rPr>
        <w:t>，按采购文件中明确的所属行业</w:t>
      </w:r>
      <w:r>
        <w:rPr>
          <w:rFonts w:ascii="宋体" w:hAnsi="宋体"/>
          <w:color w:val="auto"/>
          <w:sz w:val="24"/>
          <w:szCs w:val="24"/>
          <w:highlight w:val="none"/>
        </w:rPr>
        <w:t>属于</w:t>
      </w:r>
      <w:r>
        <w:rPr>
          <w:rFonts w:ascii="宋体" w:hAnsi="宋体"/>
          <w:iCs/>
          <w:color w:val="auto"/>
          <w:sz w:val="24"/>
          <w:szCs w:val="24"/>
          <w:highlight w:val="none"/>
          <w:u w:val="single"/>
        </w:rPr>
        <w:t>（中型企业、小型企业、微型企业）</w:t>
      </w:r>
      <w:r>
        <w:rPr>
          <w:rFonts w:hint="eastAsia" w:ascii="宋体" w:hAnsi="宋体"/>
          <w:color w:val="auto"/>
          <w:sz w:val="24"/>
          <w:szCs w:val="24"/>
          <w:highlight w:val="none"/>
        </w:rPr>
        <w:t>；</w:t>
      </w:r>
    </w:p>
    <w:p w14:paraId="4703075E">
      <w:pPr>
        <w:pStyle w:val="58"/>
        <w:shd w:val="clear" w:color="auto" w:fill="auto"/>
        <w:spacing w:after="0" w:line="518" w:lineRule="exact"/>
        <w:ind w:firstLine="680"/>
        <w:jc w:val="both"/>
        <w:rPr>
          <w:rFonts w:ascii="宋体" w:hAnsi="宋体" w:eastAsia="宋体"/>
          <w:color w:val="auto"/>
          <w:sz w:val="24"/>
          <w:szCs w:val="24"/>
          <w:highlight w:val="none"/>
        </w:rPr>
      </w:pPr>
      <w:r>
        <w:rPr>
          <w:rFonts w:hint="eastAsia" w:ascii="宋体" w:hAnsi="宋体" w:eastAsia="宋体"/>
          <w:color w:val="auto"/>
          <w:sz w:val="24"/>
          <w:szCs w:val="24"/>
          <w:highlight w:val="none"/>
        </w:rPr>
        <w:t>……</w:t>
      </w:r>
    </w:p>
    <w:p w14:paraId="48D8063A">
      <w:pPr>
        <w:pStyle w:val="58"/>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以上企业，不属于大企业的分支机构，不存在控股股东为大企业的情形，也不存在与大企业的负责人为同一人的情形。</w:t>
      </w:r>
    </w:p>
    <w:p w14:paraId="7072074F">
      <w:pPr>
        <w:pStyle w:val="58"/>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本企业对上述声明内容的真实性负责。如有虚假，将依法承担相应责任。</w:t>
      </w:r>
    </w:p>
    <w:p w14:paraId="4FB6FBBB">
      <w:pPr>
        <w:pStyle w:val="58"/>
        <w:shd w:val="clear" w:color="auto" w:fill="auto"/>
        <w:spacing w:after="228" w:line="300" w:lineRule="exact"/>
        <w:rPr>
          <w:rFonts w:ascii="宋体" w:hAnsi="宋体" w:eastAsia="宋体"/>
          <w:color w:val="auto"/>
          <w:sz w:val="24"/>
          <w:szCs w:val="24"/>
          <w:highlight w:val="none"/>
        </w:rPr>
      </w:pPr>
    </w:p>
    <w:p w14:paraId="07D14165">
      <w:pPr>
        <w:pStyle w:val="58"/>
        <w:shd w:val="clear" w:color="auto" w:fill="auto"/>
        <w:spacing w:after="228" w:line="300" w:lineRule="exact"/>
        <w:ind w:left="3900"/>
        <w:rPr>
          <w:rFonts w:ascii="宋体" w:hAnsi="宋体" w:eastAsia="宋体"/>
          <w:color w:val="auto"/>
          <w:sz w:val="24"/>
          <w:szCs w:val="24"/>
          <w:highlight w:val="none"/>
        </w:rPr>
      </w:pPr>
    </w:p>
    <w:p w14:paraId="3026F1C5">
      <w:pPr>
        <w:pStyle w:val="58"/>
        <w:shd w:val="clear" w:color="auto" w:fill="auto"/>
        <w:spacing w:after="228" w:line="300" w:lineRule="exact"/>
        <w:ind w:firstLine="4536" w:firstLineChars="1512"/>
        <w:rPr>
          <w:rFonts w:ascii="宋体" w:hAnsi="宋体" w:eastAsia="宋体"/>
          <w:color w:val="auto"/>
          <w:sz w:val="24"/>
          <w:szCs w:val="24"/>
          <w:highlight w:val="none"/>
        </w:rPr>
      </w:pPr>
      <w:r>
        <w:rPr>
          <w:rFonts w:ascii="宋体" w:hAnsi="宋体" w:eastAsia="宋体"/>
          <w:color w:val="auto"/>
          <w:sz w:val="24"/>
          <w:szCs w:val="24"/>
          <w:highlight w:val="none"/>
        </w:rPr>
        <w:t>企业名称（盖章</w:t>
      </w:r>
      <w:r>
        <w:rPr>
          <w:rFonts w:ascii="宋体" w:hAnsi="宋体" w:eastAsia="宋体"/>
          <w:color w:val="auto"/>
          <w:sz w:val="24"/>
          <w:szCs w:val="24"/>
          <w:highlight w:val="none"/>
          <w:lang w:bidi="en-US"/>
        </w:rPr>
        <w:t>）</w:t>
      </w:r>
    </w:p>
    <w:p w14:paraId="63D9B564">
      <w:pPr>
        <w:autoSpaceDE w:val="0"/>
        <w:autoSpaceDN w:val="0"/>
        <w:adjustRightInd w:val="0"/>
        <w:spacing w:line="360" w:lineRule="auto"/>
        <w:ind w:firstLine="4536" w:firstLineChars="1890"/>
        <w:jc w:val="left"/>
        <w:rPr>
          <w:rFonts w:ascii="宋体" w:hAnsi="宋体"/>
          <w:color w:val="auto"/>
          <w:sz w:val="24"/>
          <w:szCs w:val="24"/>
          <w:highlight w:val="none"/>
        </w:rPr>
      </w:pPr>
      <w:r>
        <w:rPr>
          <w:rFonts w:ascii="宋体" w:hAnsi="宋体"/>
          <w:color w:val="auto"/>
          <w:sz w:val="24"/>
          <w:szCs w:val="24"/>
          <w:highlight w:val="none"/>
        </w:rPr>
        <w:t>日期：</w:t>
      </w:r>
    </w:p>
    <w:p w14:paraId="7E0D1B89">
      <w:pPr>
        <w:autoSpaceDE w:val="0"/>
        <w:autoSpaceDN w:val="0"/>
        <w:adjustRightInd w:val="0"/>
        <w:spacing w:line="360" w:lineRule="auto"/>
        <w:jc w:val="center"/>
        <w:rPr>
          <w:rFonts w:ascii="宋体" w:hAnsi="宋体"/>
          <w:color w:val="auto"/>
          <w:sz w:val="24"/>
          <w:szCs w:val="24"/>
          <w:highlight w:val="none"/>
        </w:rPr>
      </w:pPr>
    </w:p>
    <w:p w14:paraId="230A6A94">
      <w:pPr>
        <w:autoSpaceDE w:val="0"/>
        <w:autoSpaceDN w:val="0"/>
        <w:adjustRightInd w:val="0"/>
        <w:spacing w:line="360" w:lineRule="auto"/>
        <w:jc w:val="center"/>
        <w:rPr>
          <w:rFonts w:ascii="宋体" w:hAnsi="宋体"/>
          <w:color w:val="auto"/>
          <w:sz w:val="24"/>
          <w:szCs w:val="24"/>
          <w:highlight w:val="none"/>
        </w:rPr>
      </w:pPr>
    </w:p>
    <w:p w14:paraId="1A77BEDF">
      <w:pPr>
        <w:spacing w:line="240" w:lineRule="auto"/>
        <w:rPr>
          <w:rStyle w:val="61"/>
          <w:rFonts w:ascii="宋体" w:hAnsi="宋体" w:eastAsia="宋体"/>
          <w:color w:val="auto"/>
          <w:highlight w:val="none"/>
        </w:rPr>
      </w:pPr>
      <w:r>
        <w:rPr>
          <w:rFonts w:hint="eastAsia" w:ascii="宋体" w:hAnsi="宋体"/>
          <w:color w:val="auto"/>
          <w:sz w:val="18"/>
          <w:szCs w:val="18"/>
          <w:highlight w:val="none"/>
        </w:rPr>
        <w:t>注：1、</w:t>
      </w:r>
      <w:r>
        <w:rPr>
          <w:rStyle w:val="60"/>
          <w:rFonts w:ascii="宋体" w:hAnsi="宋体" w:eastAsia="宋体"/>
          <w:color w:val="auto"/>
          <w:sz w:val="18"/>
          <w:szCs w:val="18"/>
          <w:highlight w:val="none"/>
          <w:vertAlign w:val="superscript"/>
        </w:rPr>
        <w:t>1</w:t>
      </w:r>
      <w:r>
        <w:rPr>
          <w:rStyle w:val="61"/>
          <w:rFonts w:ascii="宋体" w:hAnsi="宋体" w:eastAsia="宋体"/>
          <w:color w:val="auto"/>
          <w:highlight w:val="none"/>
        </w:rPr>
        <w:t>从业人员、营业收入、资产总额填报上一年度数据，无上一年度数据的新成立企业可不填报</w:t>
      </w:r>
      <w:r>
        <w:rPr>
          <w:rStyle w:val="61"/>
          <w:rFonts w:hint="eastAsia" w:ascii="宋体" w:hAnsi="宋体" w:eastAsia="宋体"/>
          <w:color w:val="auto"/>
          <w:highlight w:val="none"/>
        </w:rPr>
        <w:t>。</w:t>
      </w:r>
    </w:p>
    <w:p w14:paraId="29DBC07F">
      <w:pPr>
        <w:spacing w:line="240" w:lineRule="auto"/>
        <w:ind w:firstLine="450" w:firstLineChars="250"/>
        <w:rPr>
          <w:rFonts w:ascii="宋体" w:hAnsi="宋体"/>
          <w:color w:val="auto"/>
          <w:sz w:val="18"/>
          <w:szCs w:val="18"/>
          <w:highlight w:val="none"/>
        </w:rPr>
      </w:pPr>
      <w:r>
        <w:rPr>
          <w:rStyle w:val="61"/>
          <w:rFonts w:hint="eastAsia" w:ascii="宋体" w:hAnsi="宋体" w:eastAsia="宋体"/>
          <w:color w:val="auto"/>
          <w:highlight w:val="none"/>
        </w:rPr>
        <w:t>2、“专门面向中小企业采购”项目必须提供《中小企业声明函》。</w:t>
      </w:r>
    </w:p>
    <w:p w14:paraId="697A9F18">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453B16B7">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55F1CFC7">
      <w:pPr>
        <w:spacing w:line="588" w:lineRule="exact"/>
        <w:jc w:val="center"/>
        <w:rPr>
          <w:rFonts w:ascii="宋体" w:hAnsi="宋体"/>
          <w:color w:val="auto"/>
          <w:spacing w:val="6"/>
          <w:sz w:val="24"/>
          <w:szCs w:val="24"/>
          <w:highlight w:val="none"/>
        </w:rPr>
      </w:pPr>
      <w:r>
        <w:rPr>
          <w:rFonts w:hint="eastAsia" w:ascii="黑体" w:hAnsi="黑体" w:eastAsia="黑体"/>
          <w:b/>
          <w:color w:val="auto"/>
          <w:sz w:val="30"/>
          <w:szCs w:val="30"/>
          <w:highlight w:val="none"/>
        </w:rPr>
        <w:t>残疾人福利性单位声明函</w:t>
      </w:r>
      <w:r>
        <w:rPr>
          <w:rFonts w:hint="eastAsia" w:ascii="宋体" w:hAnsi="宋体"/>
          <w:color w:val="auto"/>
          <w:spacing w:val="6"/>
          <w:sz w:val="24"/>
          <w:szCs w:val="24"/>
          <w:highlight w:val="none"/>
        </w:rPr>
        <w:t>（如符合条件时填写</w:t>
      </w:r>
      <w:r>
        <w:rPr>
          <w:rFonts w:hint="eastAsia" w:ascii="宋体" w:hAnsi="宋体"/>
          <w:color w:val="auto"/>
          <w:spacing w:val="6"/>
          <w:sz w:val="28"/>
          <w:szCs w:val="28"/>
          <w:highlight w:val="none"/>
          <w:vertAlign w:val="superscript"/>
        </w:rPr>
        <w:t>*</w:t>
      </w:r>
      <w:r>
        <w:rPr>
          <w:rFonts w:hint="eastAsia" w:ascii="宋体" w:hAnsi="宋体"/>
          <w:color w:val="auto"/>
          <w:spacing w:val="6"/>
          <w:sz w:val="24"/>
          <w:szCs w:val="24"/>
          <w:highlight w:val="none"/>
        </w:rPr>
        <w:t>）</w:t>
      </w:r>
    </w:p>
    <w:p w14:paraId="103F5336">
      <w:pPr>
        <w:spacing w:line="588" w:lineRule="exact"/>
        <w:rPr>
          <w:rFonts w:ascii="宋体" w:hAnsi="宋体"/>
          <w:color w:val="auto"/>
          <w:spacing w:val="6"/>
          <w:sz w:val="24"/>
          <w:szCs w:val="24"/>
          <w:highlight w:val="none"/>
        </w:rPr>
      </w:pPr>
    </w:p>
    <w:p w14:paraId="452B507D">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olor w:val="auto"/>
          <w:sz w:val="24"/>
          <w:szCs w:val="24"/>
          <w:highlight w:val="none"/>
        </w:rPr>
        <w:t>〔2017〕141</w:t>
      </w:r>
      <w:r>
        <w:rPr>
          <w:rFonts w:hint="eastAsia" w:ascii="宋体" w:hAnsi="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93FDC28">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本单位对上述声明的真实性负责。如有虚假，将依法承担相应责任。</w:t>
      </w:r>
    </w:p>
    <w:p w14:paraId="6F3CF58B">
      <w:pPr>
        <w:spacing w:line="588" w:lineRule="exact"/>
        <w:ind w:firstLine="504" w:firstLineChars="200"/>
        <w:rPr>
          <w:rFonts w:ascii="宋体" w:hAnsi="宋体"/>
          <w:color w:val="auto"/>
          <w:spacing w:val="6"/>
          <w:sz w:val="24"/>
          <w:szCs w:val="24"/>
          <w:highlight w:val="none"/>
        </w:rPr>
      </w:pPr>
    </w:p>
    <w:p w14:paraId="1BF317DF">
      <w:pPr>
        <w:spacing w:line="588" w:lineRule="exact"/>
        <w:ind w:firstLine="504" w:firstLineChars="200"/>
        <w:rPr>
          <w:rFonts w:ascii="宋体" w:hAnsi="宋体"/>
          <w:color w:val="auto"/>
          <w:spacing w:val="6"/>
          <w:sz w:val="24"/>
          <w:szCs w:val="24"/>
          <w:highlight w:val="none"/>
        </w:rPr>
      </w:pPr>
    </w:p>
    <w:p w14:paraId="2361A1FB">
      <w:pPr>
        <w:spacing w:line="588" w:lineRule="exact"/>
        <w:ind w:firstLine="504" w:firstLineChars="200"/>
        <w:rPr>
          <w:rFonts w:ascii="宋体" w:hAnsi="宋体"/>
          <w:color w:val="auto"/>
          <w:spacing w:val="6"/>
          <w:sz w:val="24"/>
          <w:szCs w:val="24"/>
          <w:highlight w:val="none"/>
        </w:rPr>
      </w:pPr>
    </w:p>
    <w:p w14:paraId="333AB373">
      <w:pPr>
        <w:snapToGrid w:val="0"/>
        <w:spacing w:before="100" w:beforeAutospacing="1" w:after="100" w:afterAutospacing="1" w:line="700" w:lineRule="exact"/>
        <w:ind w:right="641" w:firstLine="4960" w:firstLineChars="2067"/>
        <w:rPr>
          <w:rFonts w:ascii="宋体" w:hAnsi="宋体"/>
          <w:color w:val="auto"/>
          <w:sz w:val="24"/>
          <w:szCs w:val="24"/>
          <w:highlight w:val="none"/>
        </w:rPr>
      </w:pPr>
      <w:r>
        <w:rPr>
          <w:rFonts w:hint="eastAsia" w:ascii="宋体" w:hAnsi="宋体"/>
          <w:color w:val="auto"/>
          <w:sz w:val="24"/>
          <w:szCs w:val="24"/>
          <w:highlight w:val="none"/>
        </w:rPr>
        <w:t>单位名称</w:t>
      </w:r>
      <w:r>
        <w:rPr>
          <w:rFonts w:ascii="宋体" w:hAnsi="宋体"/>
          <w:color w:val="auto"/>
          <w:sz w:val="24"/>
          <w:szCs w:val="24"/>
          <w:highlight w:val="none"/>
        </w:rPr>
        <w:t>（盖章</w:t>
      </w:r>
      <w:r>
        <w:rPr>
          <w:rFonts w:ascii="宋体" w:hAnsi="宋体"/>
          <w:color w:val="auto"/>
          <w:sz w:val="24"/>
          <w:szCs w:val="24"/>
          <w:highlight w:val="none"/>
          <w:lang w:bidi="en-US"/>
        </w:rPr>
        <w:t>）</w:t>
      </w:r>
      <w:r>
        <w:rPr>
          <w:rFonts w:hint="eastAsia" w:ascii="宋体" w:hAnsi="宋体"/>
          <w:color w:val="auto"/>
          <w:sz w:val="24"/>
          <w:szCs w:val="24"/>
          <w:highlight w:val="none"/>
        </w:rPr>
        <w:t>：</w:t>
      </w:r>
    </w:p>
    <w:p w14:paraId="14A9D169">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r>
        <w:rPr>
          <w:rFonts w:hint="eastAsia" w:ascii="宋体" w:hAnsi="宋体"/>
          <w:color w:val="auto"/>
          <w:sz w:val="24"/>
          <w:szCs w:val="24"/>
          <w:highlight w:val="none"/>
        </w:rPr>
        <w:t>日期：</w:t>
      </w:r>
    </w:p>
    <w:p w14:paraId="0CA4FBE1">
      <w:pPr>
        <w:autoSpaceDE w:val="0"/>
        <w:autoSpaceDN w:val="0"/>
        <w:adjustRightInd w:val="0"/>
        <w:spacing w:line="360" w:lineRule="auto"/>
        <w:rPr>
          <w:rFonts w:ascii="宋体" w:cs="楷体_GB2312"/>
          <w:b/>
          <w:color w:val="auto"/>
          <w:sz w:val="30"/>
          <w:szCs w:val="30"/>
          <w:highlight w:val="none"/>
          <w:lang w:val="zh-CN"/>
        </w:rPr>
      </w:pPr>
    </w:p>
    <w:p w14:paraId="007769CD">
      <w:pPr>
        <w:autoSpaceDE w:val="0"/>
        <w:autoSpaceDN w:val="0"/>
        <w:adjustRightInd w:val="0"/>
        <w:spacing w:line="360" w:lineRule="auto"/>
        <w:jc w:val="center"/>
        <w:rPr>
          <w:rFonts w:ascii="宋体"/>
          <w:color w:val="auto"/>
          <w:sz w:val="24"/>
          <w:szCs w:val="24"/>
          <w:highlight w:val="none"/>
        </w:rPr>
      </w:pPr>
    </w:p>
    <w:p w14:paraId="0DEE8EF6">
      <w:pPr>
        <w:autoSpaceDE w:val="0"/>
        <w:autoSpaceDN w:val="0"/>
        <w:adjustRightInd w:val="0"/>
        <w:spacing w:line="360" w:lineRule="auto"/>
        <w:jc w:val="center"/>
        <w:rPr>
          <w:rFonts w:ascii="宋体"/>
          <w:color w:val="auto"/>
          <w:sz w:val="24"/>
          <w:szCs w:val="24"/>
          <w:highlight w:val="none"/>
        </w:rPr>
      </w:pPr>
    </w:p>
    <w:p w14:paraId="59CC9831">
      <w:pPr>
        <w:autoSpaceDE w:val="0"/>
        <w:autoSpaceDN w:val="0"/>
        <w:adjustRightInd w:val="0"/>
        <w:spacing w:line="360" w:lineRule="auto"/>
        <w:jc w:val="center"/>
        <w:rPr>
          <w:rFonts w:ascii="宋体"/>
          <w:color w:val="auto"/>
          <w:sz w:val="24"/>
          <w:szCs w:val="24"/>
          <w:highlight w:val="none"/>
        </w:rPr>
      </w:pPr>
    </w:p>
    <w:p w14:paraId="69348824">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注：1、按政策规定：符合条件的残疾人福利性单位视同小型、微型企业。残疾人福利性单位属于小型、微型企业的，不重复享受政策。</w:t>
      </w:r>
    </w:p>
    <w:p w14:paraId="0CFE9B2B">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b/>
          <w:color w:val="auto"/>
          <w:sz w:val="18"/>
          <w:szCs w:val="18"/>
          <w:highlight w:val="none"/>
          <w:vertAlign w:val="superscript"/>
        </w:rPr>
        <w:t>*</w:t>
      </w:r>
      <w:r>
        <w:rPr>
          <w:rFonts w:hint="eastAsia" w:ascii="宋体" w:hAnsi="宋体"/>
          <w:color w:val="auto"/>
          <w:sz w:val="18"/>
          <w:szCs w:val="18"/>
          <w:highlight w:val="none"/>
        </w:rPr>
        <w:t>本格式由符合促进残疾人就业政府采购政策条件的残疾人福利性单位填写，非残疾人福利性单位无需填写。本项目（专门面向中小企业采购）中，残疾人福利性单位属于</w:t>
      </w:r>
      <w:r>
        <w:rPr>
          <w:rFonts w:ascii="宋体" w:hAnsi="宋体"/>
          <w:color w:val="auto"/>
          <w:sz w:val="18"/>
          <w:szCs w:val="18"/>
          <w:highlight w:val="none"/>
        </w:rPr>
        <w:t>中型企业</w:t>
      </w:r>
      <w:r>
        <w:rPr>
          <w:rFonts w:hint="eastAsia" w:ascii="宋体" w:hAnsi="宋体"/>
          <w:color w:val="auto"/>
          <w:sz w:val="18"/>
          <w:szCs w:val="18"/>
          <w:highlight w:val="none"/>
        </w:rPr>
        <w:t>、小型、微型企业的，可只填写“</w:t>
      </w:r>
      <w:r>
        <w:rPr>
          <w:rFonts w:ascii="宋体" w:hAnsi="宋体"/>
          <w:color w:val="auto"/>
          <w:sz w:val="18"/>
          <w:szCs w:val="18"/>
          <w:highlight w:val="none"/>
        </w:rPr>
        <w:t xml:space="preserve"> 中小企业声明函</w:t>
      </w:r>
      <w:r>
        <w:rPr>
          <w:rFonts w:hint="eastAsia" w:ascii="宋体" w:hAnsi="宋体"/>
          <w:color w:val="auto"/>
          <w:sz w:val="18"/>
          <w:szCs w:val="18"/>
          <w:highlight w:val="none"/>
        </w:rPr>
        <w:t>”，不再填写“残疾人福利性单位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w:t>
      </w:r>
    </w:p>
    <w:p w14:paraId="74A34656">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3、残疾人福利性单位填写“残疾人福利性单位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”后，仍需同时填写“</w:t>
      </w:r>
      <w:r>
        <w:rPr>
          <w:rFonts w:ascii="宋体" w:hAnsi="宋体"/>
          <w:color w:val="auto"/>
          <w:sz w:val="18"/>
          <w:szCs w:val="18"/>
          <w:highlight w:val="none"/>
        </w:rPr>
        <w:t>中小企业声明函</w:t>
      </w:r>
      <w:r>
        <w:rPr>
          <w:rFonts w:hint="eastAsia" w:ascii="宋体" w:hAnsi="宋体"/>
          <w:color w:val="auto"/>
          <w:sz w:val="18"/>
          <w:szCs w:val="18"/>
          <w:highlight w:val="none"/>
        </w:rPr>
        <w:t>”、可在“</w:t>
      </w:r>
      <w:r>
        <w:rPr>
          <w:rFonts w:ascii="宋体" w:hAnsi="宋体"/>
          <w:color w:val="auto"/>
          <w:sz w:val="18"/>
          <w:szCs w:val="18"/>
          <w:highlight w:val="none"/>
        </w:rPr>
        <w:t>中小企业声明函</w:t>
      </w:r>
      <w:r>
        <w:rPr>
          <w:rFonts w:hint="eastAsia" w:ascii="宋体" w:hAnsi="宋体"/>
          <w:color w:val="auto"/>
          <w:sz w:val="18"/>
          <w:szCs w:val="18"/>
          <w:highlight w:val="none"/>
        </w:rPr>
        <w:t>”注明“属于符合条件的残疾人福利性单位、视同小型、微型企业”。</w:t>
      </w:r>
    </w:p>
    <w:p w14:paraId="447B2E0A">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243D0774">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4CAAB02E">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06C5329D">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14:paraId="2EEFA9DF">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承诺函</w:t>
      </w:r>
    </w:p>
    <w:p w14:paraId="67959819">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62E39217">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w:t>
      </w:r>
      <w:r>
        <w:rPr>
          <w:rFonts w:hint="eastAsia" w:ascii="宋体" w:hAnsi="宋体"/>
          <w:color w:val="auto"/>
          <w:sz w:val="24"/>
          <w:szCs w:val="24"/>
          <w:highlight w:val="none"/>
        </w:rPr>
        <w:t>我公司郑重承诺，我公司符合《政府采购法》第二十二条第一款规定的供应商基础性资格条件，具体如下：</w:t>
      </w:r>
    </w:p>
    <w:p w14:paraId="6A531973">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1、我公司承诺具有独立承担民事责任能力；</w:t>
      </w:r>
    </w:p>
    <w:p w14:paraId="4AD349C3">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2、我公司承诺具有良好的商业信誉和健全的财务会计制度；</w:t>
      </w:r>
    </w:p>
    <w:p w14:paraId="63586FDB">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3、我公司承诺具备履行合同所必需的设备和专业技术能力；</w:t>
      </w:r>
    </w:p>
    <w:p w14:paraId="10F5801B">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4、我公司承诺具有依法缴纳税收和社会保障资金的良好记录；</w:t>
      </w:r>
    </w:p>
    <w:p w14:paraId="392AEB17">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5、我公司承诺在参加政府采购活动前三年内，在经营活动中没有重大违法记录。</w:t>
      </w:r>
    </w:p>
    <w:p w14:paraId="3002EA01">
      <w:pPr>
        <w:tabs>
          <w:tab w:val="left" w:pos="9365"/>
        </w:tabs>
        <w:spacing w:before="156" w:beforeLines="50" w:line="240" w:lineRule="auto"/>
        <w:ind w:right="85"/>
        <w:jc w:val="left"/>
        <w:textAlignment w:val="top"/>
        <w:rPr>
          <w:rFonts w:ascii="宋体"/>
          <w:color w:val="auto"/>
          <w:sz w:val="24"/>
          <w:szCs w:val="24"/>
          <w:highlight w:val="none"/>
        </w:rPr>
      </w:pPr>
      <w:r>
        <w:rPr>
          <w:rFonts w:hint="eastAsia" w:ascii="宋体"/>
          <w:color w:val="auto"/>
          <w:sz w:val="24"/>
          <w:szCs w:val="24"/>
          <w:highlight w:val="none"/>
        </w:rPr>
        <w:t xml:space="preserve">    二</w:t>
      </w:r>
      <w:r>
        <w:rPr>
          <w:rFonts w:ascii="宋体"/>
          <w:color w:val="auto"/>
          <w:sz w:val="24"/>
          <w:szCs w:val="24"/>
          <w:highlight w:val="none"/>
        </w:rPr>
        <w:t>、</w:t>
      </w:r>
      <w:r>
        <w:rPr>
          <w:rFonts w:hint="eastAsia" w:ascii="宋体"/>
          <w:color w:val="auto"/>
          <w:sz w:val="24"/>
          <w:szCs w:val="24"/>
          <w:highlight w:val="none"/>
        </w:rPr>
        <w:t>我公司保证上述承诺事项的真实性，如有虚假或其他违规违法行为，我公司愿意</w:t>
      </w:r>
      <w:r>
        <w:rPr>
          <w:rFonts w:hint="eastAsia" w:ascii="宋体" w:hAnsi="宋体"/>
          <w:color w:val="auto"/>
          <w:sz w:val="24"/>
          <w:szCs w:val="24"/>
          <w:highlight w:val="none"/>
        </w:rPr>
        <w:t>按《政府采购法》提供虚假材料的有关规定</w:t>
      </w:r>
      <w:r>
        <w:rPr>
          <w:rFonts w:hint="eastAsia" w:ascii="宋体"/>
          <w:color w:val="auto"/>
          <w:sz w:val="24"/>
          <w:szCs w:val="24"/>
          <w:highlight w:val="none"/>
        </w:rPr>
        <w:t>承担法律责任，并承担因此造成的一切损失。</w:t>
      </w:r>
    </w:p>
    <w:p w14:paraId="1EE67099">
      <w:pPr>
        <w:widowControl w:val="0"/>
        <w:tabs>
          <w:tab w:val="left" w:pos="9365"/>
        </w:tabs>
        <w:snapToGrid w:val="0"/>
        <w:spacing w:before="156" w:beforeLines="50" w:line="240" w:lineRule="auto"/>
        <w:ind w:right="85"/>
        <w:jc w:val="left"/>
        <w:textAlignment w:val="top"/>
        <w:rPr>
          <w:rFonts w:ascii="宋体" w:hAnsi="宋体"/>
          <w:color w:val="auto"/>
          <w:sz w:val="24"/>
          <w:szCs w:val="24"/>
          <w:highlight w:val="none"/>
        </w:rPr>
      </w:pPr>
      <w:r>
        <w:rPr>
          <w:rFonts w:hint="eastAsia" w:ascii="宋体"/>
          <w:color w:val="auto"/>
          <w:sz w:val="24"/>
          <w:szCs w:val="24"/>
          <w:highlight w:val="none"/>
        </w:rPr>
        <w:t xml:space="preserve">   三</w:t>
      </w:r>
      <w:r>
        <w:rPr>
          <w:rFonts w:ascii="宋体"/>
          <w:color w:val="auto"/>
          <w:sz w:val="24"/>
          <w:szCs w:val="24"/>
          <w:highlight w:val="none"/>
        </w:rPr>
        <w:t>、</w:t>
      </w:r>
      <w:r>
        <w:rPr>
          <w:rFonts w:hint="eastAsia" w:ascii="宋体"/>
          <w:color w:val="auto"/>
          <w:sz w:val="24"/>
          <w:szCs w:val="24"/>
          <w:highlight w:val="none"/>
        </w:rPr>
        <w:t xml:space="preserve"> 我</w:t>
      </w:r>
      <w:r>
        <w:rPr>
          <w:rFonts w:ascii="宋体"/>
          <w:color w:val="auto"/>
          <w:sz w:val="24"/>
          <w:szCs w:val="24"/>
          <w:highlight w:val="none"/>
        </w:rPr>
        <w:t>公司认同</w:t>
      </w:r>
      <w:r>
        <w:rPr>
          <w:rFonts w:hint="eastAsia" w:ascii="宋体"/>
          <w:color w:val="auto"/>
          <w:sz w:val="24"/>
          <w:szCs w:val="24"/>
          <w:highlight w:val="none"/>
        </w:rPr>
        <w:t>按</w:t>
      </w:r>
      <w:r>
        <w:rPr>
          <w:rFonts w:ascii="宋体"/>
          <w:color w:val="auto"/>
          <w:sz w:val="24"/>
          <w:szCs w:val="24"/>
          <w:highlight w:val="none"/>
        </w:rPr>
        <w:t>照</w:t>
      </w:r>
      <w:r>
        <w:rPr>
          <w:rFonts w:hint="eastAsia" w:ascii="宋体"/>
          <w:color w:val="auto"/>
          <w:sz w:val="24"/>
          <w:szCs w:val="24"/>
          <w:highlight w:val="none"/>
        </w:rPr>
        <w:t>《谈</w:t>
      </w:r>
      <w:r>
        <w:rPr>
          <w:rFonts w:ascii="宋体"/>
          <w:color w:val="auto"/>
          <w:sz w:val="24"/>
          <w:szCs w:val="24"/>
          <w:highlight w:val="none"/>
        </w:rPr>
        <w:t>判文件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”对</w:t>
      </w:r>
      <w:r>
        <w:rPr>
          <w:rFonts w:ascii="宋体"/>
          <w:color w:val="auto"/>
          <w:sz w:val="24"/>
          <w:szCs w:val="24"/>
          <w:highlight w:val="none"/>
        </w:rPr>
        <w:t>我公司或其他公司</w:t>
      </w:r>
      <w:r>
        <w:rPr>
          <w:rFonts w:hint="eastAsia" w:ascii="宋体"/>
          <w:color w:val="auto"/>
          <w:sz w:val="24"/>
          <w:szCs w:val="24"/>
          <w:highlight w:val="none"/>
        </w:rPr>
        <w:t>进行的</w:t>
      </w:r>
      <w:r>
        <w:rPr>
          <w:rFonts w:hint="eastAsia" w:ascii="宋体" w:hAnsi="宋体"/>
          <w:color w:val="auto"/>
          <w:sz w:val="24"/>
          <w:szCs w:val="24"/>
          <w:highlight w:val="none"/>
        </w:rPr>
        <w:t>供</w:t>
      </w:r>
      <w:r>
        <w:rPr>
          <w:rFonts w:ascii="宋体" w:hAnsi="宋体"/>
          <w:color w:val="auto"/>
          <w:sz w:val="24"/>
          <w:szCs w:val="24"/>
          <w:highlight w:val="none"/>
        </w:rPr>
        <w:t>应商基础性资</w:t>
      </w:r>
      <w:r>
        <w:rPr>
          <w:rFonts w:hint="eastAsia" w:ascii="宋体" w:hAnsi="宋体"/>
          <w:color w:val="auto"/>
          <w:sz w:val="24"/>
          <w:szCs w:val="24"/>
          <w:highlight w:val="none"/>
        </w:rPr>
        <w:t>格的</w:t>
      </w:r>
      <w:r>
        <w:rPr>
          <w:rFonts w:ascii="宋体" w:hAnsi="宋体"/>
          <w:color w:val="auto"/>
          <w:sz w:val="24"/>
          <w:szCs w:val="24"/>
          <w:highlight w:val="none"/>
        </w:rPr>
        <w:t>审查</w:t>
      </w:r>
      <w:r>
        <w:rPr>
          <w:rFonts w:hint="eastAsia" w:ascii="宋体" w:hAnsi="宋体"/>
          <w:color w:val="auto"/>
          <w:sz w:val="24"/>
          <w:szCs w:val="24"/>
          <w:highlight w:val="none"/>
        </w:rPr>
        <w:t>，</w:t>
      </w:r>
      <w:r>
        <w:rPr>
          <w:rFonts w:ascii="宋体" w:hAnsi="宋体"/>
          <w:color w:val="auto"/>
          <w:sz w:val="24"/>
          <w:szCs w:val="24"/>
          <w:highlight w:val="none"/>
        </w:rPr>
        <w:t>对</w:t>
      </w:r>
      <w:r>
        <w:rPr>
          <w:rFonts w:hint="eastAsia" w:ascii="宋体"/>
          <w:color w:val="auto"/>
          <w:sz w:val="24"/>
          <w:szCs w:val="24"/>
          <w:highlight w:val="none"/>
        </w:rPr>
        <w:t>按</w:t>
      </w:r>
      <w:r>
        <w:rPr>
          <w:rFonts w:ascii="宋体"/>
          <w:color w:val="auto"/>
          <w:sz w:val="24"/>
          <w:szCs w:val="24"/>
          <w:highlight w:val="none"/>
        </w:rPr>
        <w:t>照</w:t>
      </w:r>
      <w:r>
        <w:rPr>
          <w:rFonts w:hint="eastAsia" w:ascii="宋体" w:hAnsi="宋体"/>
          <w:color w:val="auto"/>
          <w:sz w:val="24"/>
          <w:szCs w:val="24"/>
          <w:highlight w:val="none"/>
        </w:rPr>
        <w:t>认定标准得</w:t>
      </w:r>
      <w:r>
        <w:rPr>
          <w:rFonts w:ascii="宋体" w:hAnsi="宋体"/>
          <w:color w:val="auto"/>
          <w:sz w:val="24"/>
          <w:szCs w:val="24"/>
          <w:highlight w:val="none"/>
        </w:rPr>
        <w:t>出的审查结果无异</w:t>
      </w:r>
      <w:r>
        <w:rPr>
          <w:rFonts w:hint="eastAsia" w:ascii="宋体" w:hAnsi="宋体"/>
          <w:color w:val="auto"/>
          <w:sz w:val="24"/>
          <w:szCs w:val="24"/>
          <w:highlight w:val="none"/>
        </w:rPr>
        <w:t>议。</w:t>
      </w:r>
    </w:p>
    <w:p w14:paraId="024137DA">
      <w:pPr>
        <w:widowControl w:val="0"/>
        <w:tabs>
          <w:tab w:val="left" w:pos="9365"/>
        </w:tabs>
        <w:snapToGrid w:val="0"/>
        <w:spacing w:before="156" w:beforeLines="50" w:line="24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 xml:space="preserve">    四、</w:t>
      </w:r>
      <w:r>
        <w:rPr>
          <w:rFonts w:hint="eastAsia" w:ascii="宋体"/>
          <w:color w:val="auto"/>
          <w:sz w:val="24"/>
          <w:szCs w:val="24"/>
          <w:highlight w:val="none"/>
        </w:rPr>
        <w:t>我公司投</w:t>
      </w:r>
      <w:r>
        <w:rPr>
          <w:rFonts w:ascii="宋体"/>
          <w:color w:val="auto"/>
          <w:sz w:val="24"/>
          <w:szCs w:val="24"/>
          <w:highlight w:val="none"/>
        </w:rPr>
        <w:t>标文件或</w:t>
      </w:r>
      <w:r>
        <w:rPr>
          <w:rFonts w:hint="eastAsia" w:ascii="宋体"/>
          <w:color w:val="auto"/>
          <w:sz w:val="24"/>
          <w:szCs w:val="24"/>
          <w:highlight w:val="none"/>
        </w:rPr>
        <w:t>公</w:t>
      </w:r>
      <w:r>
        <w:rPr>
          <w:rFonts w:ascii="宋体"/>
          <w:color w:val="auto"/>
          <w:sz w:val="24"/>
          <w:szCs w:val="24"/>
          <w:highlight w:val="none"/>
        </w:rPr>
        <w:t>开资</w:t>
      </w:r>
      <w:r>
        <w:rPr>
          <w:rFonts w:hint="eastAsia" w:ascii="宋体"/>
          <w:color w:val="auto"/>
          <w:sz w:val="24"/>
          <w:szCs w:val="24"/>
          <w:highlight w:val="none"/>
        </w:rPr>
        <w:t>料或</w:t>
      </w:r>
      <w:r>
        <w:rPr>
          <w:rFonts w:ascii="宋体"/>
          <w:color w:val="auto"/>
          <w:sz w:val="24"/>
          <w:szCs w:val="24"/>
          <w:highlight w:val="none"/>
        </w:rPr>
        <w:t>备</w:t>
      </w:r>
      <w:r>
        <w:rPr>
          <w:rFonts w:hint="eastAsia" w:ascii="宋体"/>
          <w:color w:val="auto"/>
          <w:sz w:val="24"/>
          <w:szCs w:val="24"/>
          <w:highlight w:val="none"/>
        </w:rPr>
        <w:t>案</w:t>
      </w:r>
      <w:r>
        <w:rPr>
          <w:rFonts w:ascii="宋体"/>
          <w:color w:val="auto"/>
          <w:sz w:val="24"/>
          <w:szCs w:val="24"/>
          <w:highlight w:val="none"/>
        </w:rPr>
        <w:t>资</w:t>
      </w:r>
      <w:r>
        <w:rPr>
          <w:rFonts w:hint="eastAsia" w:ascii="宋体"/>
          <w:color w:val="auto"/>
          <w:sz w:val="24"/>
          <w:szCs w:val="24"/>
          <w:highlight w:val="none"/>
        </w:rPr>
        <w:t>料</w:t>
      </w:r>
      <w:r>
        <w:rPr>
          <w:rFonts w:ascii="宋体"/>
          <w:color w:val="auto"/>
          <w:sz w:val="24"/>
          <w:szCs w:val="24"/>
          <w:highlight w:val="none"/>
        </w:rPr>
        <w:t>中，有不符合</w:t>
      </w:r>
      <w:r>
        <w:rPr>
          <w:rFonts w:hint="eastAsia" w:ascii="宋体"/>
          <w:color w:val="auto"/>
          <w:sz w:val="24"/>
          <w:szCs w:val="24"/>
          <w:highlight w:val="none"/>
        </w:rPr>
        <w:t>《谈</w:t>
      </w:r>
      <w:r>
        <w:rPr>
          <w:rFonts w:ascii="宋体"/>
          <w:color w:val="auto"/>
          <w:sz w:val="24"/>
          <w:szCs w:val="24"/>
          <w:highlight w:val="none"/>
        </w:rPr>
        <w:t>判文件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”的</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认同</w:t>
      </w:r>
      <w:r>
        <w:rPr>
          <w:rFonts w:hint="eastAsia" w:ascii="宋体"/>
          <w:color w:val="auto"/>
          <w:sz w:val="24"/>
          <w:szCs w:val="24"/>
          <w:highlight w:val="none"/>
        </w:rPr>
        <w:t>判</w:t>
      </w:r>
      <w:r>
        <w:rPr>
          <w:rFonts w:ascii="宋体"/>
          <w:color w:val="auto"/>
          <w:sz w:val="24"/>
          <w:szCs w:val="24"/>
          <w:highlight w:val="none"/>
        </w:rPr>
        <w:t>定为无</w:t>
      </w:r>
      <w:r>
        <w:rPr>
          <w:rFonts w:hint="eastAsia" w:ascii="宋体"/>
          <w:color w:val="auto"/>
          <w:sz w:val="24"/>
          <w:szCs w:val="24"/>
          <w:highlight w:val="none"/>
        </w:rPr>
        <w:t>效</w:t>
      </w:r>
      <w:r>
        <w:rPr>
          <w:rFonts w:ascii="宋体"/>
          <w:color w:val="auto"/>
          <w:sz w:val="24"/>
          <w:szCs w:val="24"/>
          <w:highlight w:val="none"/>
        </w:rPr>
        <w:t>投标</w:t>
      </w:r>
      <w:r>
        <w:rPr>
          <w:rFonts w:hint="eastAsia" w:ascii="宋体"/>
          <w:color w:val="auto"/>
          <w:sz w:val="24"/>
          <w:szCs w:val="24"/>
          <w:highlight w:val="none"/>
        </w:rPr>
        <w:t>、承担</w:t>
      </w:r>
      <w:r>
        <w:rPr>
          <w:rFonts w:hint="eastAsia" w:ascii="宋体" w:hAnsi="宋体"/>
          <w:color w:val="auto"/>
          <w:sz w:val="24"/>
          <w:szCs w:val="24"/>
          <w:highlight w:val="none"/>
        </w:rPr>
        <w:t>虚假</w:t>
      </w:r>
      <w:r>
        <w:rPr>
          <w:rFonts w:hint="eastAsia" w:ascii="宋体"/>
          <w:color w:val="auto"/>
          <w:sz w:val="24"/>
          <w:szCs w:val="24"/>
          <w:highlight w:val="none"/>
        </w:rPr>
        <w:t>承诺责任。</w:t>
      </w:r>
    </w:p>
    <w:p w14:paraId="41A450D9">
      <w:pPr>
        <w:tabs>
          <w:tab w:val="left" w:pos="9365"/>
        </w:tabs>
        <w:spacing w:before="156" w:beforeLines="50" w:line="240" w:lineRule="auto"/>
        <w:ind w:right="85" w:firstLine="480"/>
        <w:jc w:val="left"/>
        <w:textAlignment w:val="top"/>
        <w:rPr>
          <w:rFonts w:ascii="宋体"/>
          <w:color w:val="auto"/>
          <w:sz w:val="24"/>
          <w:szCs w:val="24"/>
          <w:highlight w:val="none"/>
        </w:rPr>
      </w:pPr>
      <w:r>
        <w:rPr>
          <w:rFonts w:hint="eastAsia" w:ascii="宋体"/>
          <w:color w:val="auto"/>
          <w:sz w:val="24"/>
          <w:szCs w:val="24"/>
          <w:highlight w:val="none"/>
        </w:rPr>
        <w:t>五</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在</w:t>
      </w:r>
      <w:r>
        <w:rPr>
          <w:rFonts w:hint="eastAsia" w:ascii="宋体"/>
          <w:color w:val="auto"/>
          <w:sz w:val="24"/>
          <w:szCs w:val="24"/>
          <w:highlight w:val="none"/>
        </w:rPr>
        <w:t>没</w:t>
      </w:r>
      <w:r>
        <w:rPr>
          <w:rFonts w:ascii="宋体"/>
          <w:color w:val="auto"/>
          <w:sz w:val="24"/>
          <w:szCs w:val="24"/>
          <w:highlight w:val="none"/>
        </w:rPr>
        <w:t>有有效的证明材</w:t>
      </w:r>
      <w:r>
        <w:rPr>
          <w:rFonts w:hint="eastAsia" w:ascii="宋体"/>
          <w:color w:val="auto"/>
          <w:sz w:val="24"/>
          <w:szCs w:val="24"/>
          <w:highlight w:val="none"/>
        </w:rPr>
        <w:t>料，以</w:t>
      </w:r>
      <w:r>
        <w:rPr>
          <w:rFonts w:ascii="宋体"/>
          <w:color w:val="auto"/>
          <w:sz w:val="24"/>
          <w:szCs w:val="24"/>
          <w:highlight w:val="none"/>
        </w:rPr>
        <w:t>证明其他投标人不符合</w:t>
      </w:r>
      <w:r>
        <w:rPr>
          <w:rFonts w:hint="eastAsia" w:ascii="宋体"/>
          <w:color w:val="auto"/>
          <w:sz w:val="24"/>
          <w:szCs w:val="24"/>
          <w:highlight w:val="none"/>
        </w:rPr>
        <w:t>《谈</w:t>
      </w:r>
      <w:r>
        <w:rPr>
          <w:rFonts w:ascii="宋体"/>
          <w:color w:val="auto"/>
          <w:sz w:val="24"/>
          <w:szCs w:val="24"/>
          <w:highlight w:val="none"/>
        </w:rPr>
        <w:t>判文件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”时，我公司承诺不</w:t>
      </w:r>
      <w:r>
        <w:rPr>
          <w:rFonts w:ascii="宋体"/>
          <w:color w:val="auto"/>
          <w:sz w:val="24"/>
          <w:szCs w:val="24"/>
          <w:highlight w:val="none"/>
        </w:rPr>
        <w:t>对其他投标人</w:t>
      </w:r>
      <w:r>
        <w:rPr>
          <w:rFonts w:hint="eastAsia" w:ascii="宋体"/>
          <w:color w:val="auto"/>
          <w:sz w:val="24"/>
          <w:szCs w:val="24"/>
          <w:highlight w:val="none"/>
        </w:rPr>
        <w:t>的承诺函提</w:t>
      </w:r>
      <w:r>
        <w:rPr>
          <w:rFonts w:ascii="宋体"/>
          <w:color w:val="auto"/>
          <w:sz w:val="24"/>
          <w:szCs w:val="24"/>
          <w:highlight w:val="none"/>
        </w:rPr>
        <w:t>起质疑投诉，</w:t>
      </w:r>
      <w:r>
        <w:rPr>
          <w:rFonts w:hint="eastAsia" w:ascii="宋体"/>
          <w:color w:val="auto"/>
          <w:sz w:val="24"/>
          <w:szCs w:val="24"/>
          <w:highlight w:val="none"/>
        </w:rPr>
        <w:t>同</w:t>
      </w:r>
      <w:r>
        <w:rPr>
          <w:rFonts w:ascii="宋体"/>
          <w:color w:val="auto"/>
          <w:sz w:val="24"/>
          <w:szCs w:val="24"/>
          <w:highlight w:val="none"/>
        </w:rPr>
        <w:t>意对已</w:t>
      </w:r>
      <w:r>
        <w:rPr>
          <w:rFonts w:hint="eastAsia" w:ascii="宋体"/>
          <w:color w:val="auto"/>
          <w:sz w:val="24"/>
          <w:szCs w:val="24"/>
          <w:highlight w:val="none"/>
        </w:rPr>
        <w:t>提</w:t>
      </w:r>
      <w:r>
        <w:rPr>
          <w:rFonts w:ascii="宋体"/>
          <w:color w:val="auto"/>
          <w:sz w:val="24"/>
          <w:szCs w:val="24"/>
          <w:highlight w:val="none"/>
        </w:rPr>
        <w:t>起</w:t>
      </w:r>
      <w:r>
        <w:rPr>
          <w:rFonts w:hint="eastAsia" w:ascii="宋体"/>
          <w:color w:val="auto"/>
          <w:sz w:val="24"/>
          <w:szCs w:val="24"/>
          <w:highlight w:val="none"/>
        </w:rPr>
        <w:t>的</w:t>
      </w:r>
      <w:r>
        <w:rPr>
          <w:rFonts w:ascii="宋体"/>
          <w:color w:val="auto"/>
          <w:sz w:val="24"/>
          <w:szCs w:val="24"/>
          <w:highlight w:val="none"/>
        </w:rPr>
        <w:t>质疑投诉</w:t>
      </w:r>
      <w:r>
        <w:rPr>
          <w:rFonts w:hint="eastAsia" w:ascii="宋体"/>
          <w:color w:val="auto"/>
          <w:sz w:val="24"/>
          <w:szCs w:val="24"/>
          <w:highlight w:val="none"/>
        </w:rPr>
        <w:t>按缺</w:t>
      </w:r>
      <w:r>
        <w:rPr>
          <w:rFonts w:ascii="宋体"/>
          <w:color w:val="auto"/>
          <w:sz w:val="24"/>
          <w:szCs w:val="24"/>
          <w:highlight w:val="none"/>
        </w:rPr>
        <w:t>乏</w:t>
      </w:r>
      <w:r>
        <w:rPr>
          <w:rFonts w:hint="eastAsia" w:ascii="宋体" w:hAnsi="宋体"/>
          <w:color w:val="auto"/>
          <w:sz w:val="24"/>
          <w:szCs w:val="24"/>
          <w:highlight w:val="none"/>
        </w:rPr>
        <w:t>事实依据、</w:t>
      </w:r>
      <w:r>
        <w:rPr>
          <w:rFonts w:hint="eastAsia" w:ascii="宋体"/>
          <w:color w:val="auto"/>
          <w:sz w:val="24"/>
          <w:szCs w:val="24"/>
          <w:highlight w:val="none"/>
        </w:rPr>
        <w:t>按</w:t>
      </w:r>
      <w:r>
        <w:rPr>
          <w:rFonts w:ascii="宋体"/>
          <w:color w:val="auto"/>
          <w:sz w:val="24"/>
          <w:szCs w:val="24"/>
          <w:highlight w:val="none"/>
        </w:rPr>
        <w:t>无</w:t>
      </w:r>
      <w:r>
        <w:rPr>
          <w:rFonts w:hint="eastAsia" w:ascii="宋体"/>
          <w:color w:val="auto"/>
          <w:sz w:val="24"/>
          <w:szCs w:val="24"/>
          <w:highlight w:val="none"/>
        </w:rPr>
        <w:t>效</w:t>
      </w:r>
      <w:r>
        <w:rPr>
          <w:rFonts w:ascii="宋体"/>
          <w:color w:val="auto"/>
          <w:sz w:val="24"/>
          <w:szCs w:val="24"/>
          <w:highlight w:val="none"/>
        </w:rPr>
        <w:t>质疑投诉</w:t>
      </w:r>
      <w:r>
        <w:rPr>
          <w:rFonts w:hint="eastAsia" w:ascii="宋体"/>
          <w:color w:val="auto"/>
          <w:sz w:val="24"/>
          <w:szCs w:val="24"/>
          <w:highlight w:val="none"/>
        </w:rPr>
        <w:t>处</w:t>
      </w:r>
      <w:r>
        <w:rPr>
          <w:rFonts w:ascii="宋体"/>
          <w:color w:val="auto"/>
          <w:sz w:val="24"/>
          <w:szCs w:val="24"/>
          <w:highlight w:val="none"/>
        </w:rPr>
        <w:t>理。</w:t>
      </w:r>
    </w:p>
    <w:p w14:paraId="5CDBD57B">
      <w:pPr>
        <w:tabs>
          <w:tab w:val="left" w:pos="9365"/>
        </w:tabs>
        <w:spacing w:before="156" w:beforeLines="50" w:line="240" w:lineRule="auto"/>
        <w:ind w:right="85" w:firstLine="480"/>
        <w:jc w:val="left"/>
        <w:textAlignment w:val="top"/>
        <w:rPr>
          <w:rFonts w:ascii="宋体"/>
          <w:color w:val="auto"/>
          <w:sz w:val="24"/>
          <w:szCs w:val="24"/>
          <w:highlight w:val="none"/>
        </w:rPr>
      </w:pPr>
    </w:p>
    <w:p w14:paraId="2AD7F33F">
      <w:pPr>
        <w:tabs>
          <w:tab w:val="left" w:pos="9365"/>
        </w:tabs>
        <w:spacing w:before="57" w:after="57" w:line="586" w:lineRule="atLeast"/>
        <w:ind w:right="85"/>
        <w:jc w:val="left"/>
        <w:textAlignment w:val="top"/>
        <w:rPr>
          <w:rFonts w:ascii="宋体" w:hAnsi="宋体"/>
          <w:color w:val="auto"/>
          <w:sz w:val="24"/>
          <w:szCs w:val="24"/>
          <w:highlight w:val="none"/>
        </w:rPr>
      </w:pPr>
    </w:p>
    <w:p w14:paraId="367AF6F7">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5D81B17E">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3627C322">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0254589C">
      <w:pPr>
        <w:snapToGrid w:val="0"/>
        <w:spacing w:line="560" w:lineRule="exact"/>
        <w:ind w:firstLine="555"/>
        <w:rPr>
          <w:rFonts w:ascii="宋体"/>
          <w:color w:val="auto"/>
          <w:sz w:val="24"/>
          <w:highlight w:val="none"/>
        </w:rPr>
      </w:pPr>
      <w:r>
        <w:rPr>
          <w:rFonts w:ascii="宋体" w:hAnsi="宋体"/>
          <w:color w:val="auto"/>
          <w:sz w:val="24"/>
          <w:highlight w:val="none"/>
        </w:rPr>
        <w:t xml:space="preserve">        </w:t>
      </w:r>
    </w:p>
    <w:p w14:paraId="5C0AD83F">
      <w:pPr>
        <w:widowControl w:val="0"/>
        <w:tabs>
          <w:tab w:val="left" w:pos="9365"/>
        </w:tabs>
        <w:snapToGrid w:val="0"/>
        <w:spacing w:after="56" w:line="560" w:lineRule="exact"/>
        <w:ind w:right="85"/>
        <w:jc w:val="center"/>
        <w:textAlignment w:val="top"/>
        <w:rPr>
          <w:rFonts w:ascii="宋体"/>
          <w:color w:val="auto"/>
          <w:sz w:val="24"/>
          <w:highlight w:val="none"/>
        </w:rPr>
      </w:pPr>
      <w:r>
        <w:rPr>
          <w:rFonts w:ascii="宋体"/>
          <w:color w:val="auto"/>
          <w:sz w:val="24"/>
          <w:highlight w:val="none"/>
        </w:rPr>
        <w:br w:type="page"/>
      </w:r>
      <w:r>
        <w:rPr>
          <w:rFonts w:hint="eastAsia" w:ascii="黑体" w:hAnsi="黑体" w:eastAsia="黑体"/>
          <w:b/>
          <w:color w:val="auto"/>
          <w:sz w:val="30"/>
          <w:szCs w:val="30"/>
          <w:highlight w:val="none"/>
        </w:rPr>
        <w:t>《政府采购法》第二十二条第一款规定的供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14:paraId="64068B19">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承诺事</w:t>
      </w:r>
      <w:r>
        <w:rPr>
          <w:rFonts w:ascii="黑体" w:hAnsi="黑体" w:eastAsia="黑体"/>
          <w:b/>
          <w:color w:val="auto"/>
          <w:sz w:val="30"/>
          <w:szCs w:val="30"/>
          <w:highlight w:val="none"/>
        </w:rPr>
        <w:t>项的</w:t>
      </w:r>
      <w:r>
        <w:rPr>
          <w:rFonts w:hint="eastAsia" w:ascii="黑体" w:hAnsi="黑体" w:eastAsia="黑体"/>
          <w:b/>
          <w:color w:val="auto"/>
          <w:sz w:val="30"/>
          <w:szCs w:val="30"/>
          <w:highlight w:val="none"/>
        </w:rPr>
        <w:t>认定标准</w:t>
      </w:r>
    </w:p>
    <w:p w14:paraId="26EA12FD">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3C9F9EBE">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政府采购监督检查、质疑投诉及政府采购行政处罚等</w:t>
      </w:r>
      <w:r>
        <w:rPr>
          <w:rFonts w:ascii="宋体" w:hAnsi="宋体"/>
          <w:color w:val="auto"/>
          <w:sz w:val="24"/>
          <w:szCs w:val="24"/>
          <w:highlight w:val="none"/>
        </w:rPr>
        <w:t>情形</w:t>
      </w:r>
      <w:r>
        <w:rPr>
          <w:rFonts w:hint="eastAsia" w:ascii="宋体" w:hAnsi="宋体"/>
          <w:color w:val="auto"/>
          <w:sz w:val="24"/>
          <w:szCs w:val="24"/>
          <w:highlight w:val="none"/>
        </w:rPr>
        <w:t>中，需要对资格承诺的真实性的进</w:t>
      </w:r>
      <w:r>
        <w:rPr>
          <w:rFonts w:ascii="宋体" w:hAnsi="宋体"/>
          <w:color w:val="auto"/>
          <w:sz w:val="24"/>
          <w:szCs w:val="24"/>
          <w:highlight w:val="none"/>
        </w:rPr>
        <w:t>行</w:t>
      </w:r>
      <w:r>
        <w:rPr>
          <w:rFonts w:hint="eastAsia" w:ascii="宋体" w:hAnsi="宋体"/>
          <w:color w:val="auto"/>
          <w:sz w:val="24"/>
          <w:szCs w:val="24"/>
          <w:highlight w:val="none"/>
        </w:rPr>
        <w:t>认定时，相</w:t>
      </w:r>
      <w:r>
        <w:rPr>
          <w:rFonts w:ascii="宋体" w:hAnsi="宋体"/>
          <w:color w:val="auto"/>
          <w:sz w:val="24"/>
          <w:szCs w:val="24"/>
          <w:highlight w:val="none"/>
        </w:rPr>
        <w:t>关</w:t>
      </w:r>
      <w:r>
        <w:rPr>
          <w:rFonts w:hint="eastAsia" w:ascii="宋体" w:hAnsi="宋体"/>
          <w:color w:val="auto"/>
          <w:sz w:val="24"/>
          <w:szCs w:val="24"/>
          <w:highlight w:val="none"/>
        </w:rPr>
        <w:t>供应商应提供如下关</w:t>
      </w:r>
      <w:r>
        <w:rPr>
          <w:rFonts w:ascii="宋体" w:hAnsi="宋体"/>
          <w:color w:val="auto"/>
          <w:sz w:val="24"/>
          <w:szCs w:val="24"/>
          <w:highlight w:val="none"/>
        </w:rPr>
        <w:t>于基础</w:t>
      </w:r>
      <w:r>
        <w:rPr>
          <w:rFonts w:hint="eastAsia" w:ascii="宋体" w:hAnsi="宋体"/>
          <w:color w:val="auto"/>
          <w:sz w:val="24"/>
          <w:szCs w:val="24"/>
          <w:highlight w:val="none"/>
        </w:rPr>
        <w:t>性资格的证明材料：</w:t>
      </w:r>
    </w:p>
    <w:p w14:paraId="6A5D5016">
      <w:pPr>
        <w:widowControl w:val="0"/>
        <w:snapToGrid w:val="0"/>
        <w:spacing w:line="360" w:lineRule="auto"/>
        <w:ind w:firstLine="540" w:firstLineChars="225"/>
        <w:rPr>
          <w:rFonts w:ascii="宋体"/>
          <w:color w:val="auto"/>
          <w:szCs w:val="21"/>
          <w:highlight w:val="none"/>
        </w:rPr>
      </w:pPr>
      <w:r>
        <w:rPr>
          <w:rFonts w:hint="eastAsia" w:ascii="宋体" w:hAnsi="宋体"/>
          <w:color w:val="auto"/>
          <w:sz w:val="24"/>
          <w:szCs w:val="24"/>
          <w:highlight w:val="none"/>
        </w:rPr>
        <w:t>（一）具有独立承担民事责任的能力。■提供营业执照或事业单位法人证书，■提供税务登记证（三证合一的只需提供三证合一的营业执照）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highlight w:val="none"/>
          <w:shd w:val="clear" w:color="auto" w:fill="FFFFFF"/>
        </w:rPr>
        <w:t>。</w:t>
      </w:r>
    </w:p>
    <w:p w14:paraId="784C8CE0">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（二）具有良好的商业信誉和健全的财务会计制度。■提供银行出具的近</w:t>
      </w:r>
      <w:r>
        <w:rPr>
          <w:rFonts w:ascii="宋体" w:hAnsi="宋体"/>
          <w:color w:val="auto"/>
          <w:sz w:val="24"/>
          <w:szCs w:val="24"/>
          <w:highlight w:val="none"/>
        </w:rPr>
        <w:t>1</w:t>
      </w:r>
      <w:r>
        <w:rPr>
          <w:rFonts w:hint="eastAsia" w:ascii="宋体" w:hAnsi="宋体"/>
          <w:color w:val="auto"/>
          <w:sz w:val="24"/>
          <w:szCs w:val="24"/>
          <w:highlight w:val="none"/>
        </w:rPr>
        <w:t>年内资信证明（法人为基本开户行）、或2024年度以来（任一年度）经审计的财务报告、或银行（保险公司）出具的投标担保函。</w:t>
      </w:r>
    </w:p>
    <w:p w14:paraId="3051704F">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14:paraId="038B2AEC">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（四）有依法缴纳税收和社会保障资金的良好记录。■提供近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个月）已依法缴纳税收的凭据；■提供近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个月）已依法缴纳社会保险的凭据。依法免税或不需要缴纳社会保障资金的供应商，应提供相应证明文件。</w:t>
      </w:r>
    </w:p>
    <w:p w14:paraId="3C317883">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（五）参加政府采购活动前</w:t>
      </w:r>
      <w:r>
        <w:rPr>
          <w:rFonts w:ascii="宋体" w:hAnsi="宋体"/>
          <w:color w:val="auto"/>
          <w:sz w:val="24"/>
          <w:szCs w:val="24"/>
          <w:highlight w:val="none"/>
        </w:rPr>
        <w:t>3</w:t>
      </w:r>
      <w:r>
        <w:rPr>
          <w:rFonts w:hint="eastAsia" w:ascii="宋体" w:hAnsi="宋体"/>
          <w:color w:val="auto"/>
          <w:sz w:val="24"/>
          <w:szCs w:val="24"/>
          <w:highlight w:val="none"/>
        </w:rPr>
        <w:t>年内在经营活动中没有重大违法记录。</w:t>
      </w:r>
    </w:p>
    <w:p w14:paraId="7C83DE70">
      <w:pPr>
        <w:widowControl w:val="0"/>
        <w:snapToGrid w:val="0"/>
        <w:spacing w:line="360" w:lineRule="auto"/>
        <w:ind w:firstLine="540" w:firstLineChars="225"/>
        <w:rPr>
          <w:rFonts w:ascii="宋体" w:hAnsi="宋体"/>
          <w:color w:val="auto"/>
          <w:sz w:val="24"/>
          <w:szCs w:val="24"/>
          <w:highlight w:val="none"/>
        </w:rPr>
      </w:pPr>
    </w:p>
    <w:p w14:paraId="7C6458CD">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供应商提供的证明材料不</w:t>
      </w:r>
      <w:r>
        <w:rPr>
          <w:rFonts w:ascii="宋体" w:hAnsi="宋体"/>
          <w:color w:val="auto"/>
          <w:sz w:val="24"/>
          <w:szCs w:val="24"/>
          <w:highlight w:val="none"/>
        </w:rPr>
        <w:t>符合上述认定标准的</w:t>
      </w:r>
      <w:r>
        <w:rPr>
          <w:rFonts w:hint="eastAsia" w:ascii="宋体" w:hAnsi="宋体"/>
          <w:color w:val="auto"/>
          <w:sz w:val="24"/>
          <w:szCs w:val="24"/>
          <w:highlight w:val="none"/>
        </w:rPr>
        <w:t>，评定该投标人不满足《政府采购法》投标人资格要求，为提供虚假承诺，投标、中标无效，并上报财政部门对其违规违法行为作进一步处理。</w:t>
      </w:r>
    </w:p>
    <w:p w14:paraId="2CE2E590">
      <w:pPr>
        <w:tabs>
          <w:tab w:val="left" w:pos="540"/>
        </w:tabs>
        <w:spacing w:line="440" w:lineRule="exact"/>
        <w:rPr>
          <w:rFonts w:ascii="宋体"/>
          <w:color w:val="auto"/>
          <w:sz w:val="24"/>
          <w:szCs w:val="24"/>
          <w:highlight w:val="none"/>
        </w:rPr>
      </w:pPr>
      <w:r>
        <w:rPr>
          <w:rFonts w:hint="eastAsia" w:ascii="宋体"/>
          <w:color w:val="auto"/>
          <w:sz w:val="24"/>
          <w:szCs w:val="24"/>
          <w:highlight w:val="none"/>
        </w:rPr>
        <w:t xml:space="preserve">    </w:t>
      </w:r>
    </w:p>
    <w:p w14:paraId="0B52CB45">
      <w:pPr>
        <w:snapToGrid w:val="0"/>
        <w:spacing w:line="560" w:lineRule="atLeast"/>
        <w:jc w:val="center"/>
        <w:rPr>
          <w:rFonts w:ascii="宋体"/>
          <w:color w:val="auto"/>
          <w:sz w:val="24"/>
          <w:highlight w:val="none"/>
        </w:rPr>
      </w:pPr>
    </w:p>
    <w:p w14:paraId="5D47200E">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58C06509">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7862CB1A">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56AC2743">
      <w:pPr>
        <w:snapToGrid w:val="0"/>
        <w:spacing w:line="560" w:lineRule="atLeast"/>
        <w:jc w:val="center"/>
        <w:rPr>
          <w:rFonts w:ascii="宋体"/>
          <w:color w:val="auto"/>
          <w:sz w:val="24"/>
          <w:highlight w:val="none"/>
        </w:rPr>
      </w:pPr>
      <w:r>
        <w:rPr>
          <w:rFonts w:ascii="宋体"/>
          <w:color w:val="auto"/>
          <w:sz w:val="24"/>
          <w:highlight w:val="none"/>
        </w:rPr>
        <w:br w:type="page"/>
      </w:r>
    </w:p>
    <w:p w14:paraId="5304DE3A">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供应商负责人控股、设计等相关承诺书</w:t>
      </w:r>
    </w:p>
    <w:p w14:paraId="0A418B81">
      <w:pPr>
        <w:tabs>
          <w:tab w:val="left" w:pos="9365"/>
        </w:tabs>
        <w:spacing w:before="360" w:after="360" w:line="586" w:lineRule="atLeas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14:paraId="70675496">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采购活动中，我单位承诺满足以下要求：</w:t>
      </w:r>
    </w:p>
    <w:p w14:paraId="73B2E2A2">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一、单位负责人为同一人或者存在直接控股、管理关系的不同供应商，不参加同一合同项下的政府采购活动。</w:t>
      </w:r>
    </w:p>
    <w:p w14:paraId="3E0319EE">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二、没有为本项目提供整体设计、规范编制或者项目管理、监理、检测等服务。</w:t>
      </w:r>
    </w:p>
    <w:p w14:paraId="510468DD">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三、若出现上述行为，我单位确</w:t>
      </w:r>
      <w:r>
        <w:rPr>
          <w:rFonts w:ascii="宋体" w:hAnsi="宋体"/>
          <w:color w:val="auto"/>
          <w:sz w:val="24"/>
          <w:szCs w:val="24"/>
          <w:highlight w:val="none"/>
        </w:rPr>
        <w:t>认投标无</w:t>
      </w:r>
      <w:r>
        <w:rPr>
          <w:rFonts w:hint="eastAsia" w:ascii="宋体" w:hAnsi="宋体"/>
          <w:color w:val="auto"/>
          <w:sz w:val="24"/>
          <w:szCs w:val="24"/>
          <w:highlight w:val="none"/>
        </w:rPr>
        <w:t>效、</w:t>
      </w:r>
      <w:r>
        <w:rPr>
          <w:rFonts w:ascii="宋体" w:hAnsi="宋体"/>
          <w:color w:val="auto"/>
          <w:sz w:val="24"/>
          <w:szCs w:val="24"/>
          <w:highlight w:val="none"/>
        </w:rPr>
        <w:t>承诺</w:t>
      </w:r>
      <w:r>
        <w:rPr>
          <w:rFonts w:hint="eastAsia" w:ascii="宋体" w:hAnsi="宋体"/>
          <w:color w:val="auto"/>
          <w:sz w:val="24"/>
          <w:szCs w:val="24"/>
          <w:highlight w:val="none"/>
        </w:rPr>
        <w:t>书</w:t>
      </w:r>
      <w:r>
        <w:rPr>
          <w:rFonts w:ascii="宋体" w:hAnsi="宋体"/>
          <w:color w:val="auto"/>
          <w:sz w:val="24"/>
          <w:szCs w:val="24"/>
          <w:highlight w:val="none"/>
        </w:rPr>
        <w:t>虚假</w:t>
      </w:r>
      <w:r>
        <w:rPr>
          <w:rFonts w:hint="eastAsia" w:ascii="宋体" w:hAnsi="宋体"/>
          <w:color w:val="auto"/>
          <w:sz w:val="24"/>
          <w:szCs w:val="24"/>
          <w:highlight w:val="none"/>
        </w:rPr>
        <w:t>，接受相关部门按照国家法律法规等有关规定对</w:t>
      </w:r>
      <w:r>
        <w:rPr>
          <w:rFonts w:ascii="宋体" w:hAnsi="宋体"/>
          <w:color w:val="auto"/>
          <w:sz w:val="24"/>
          <w:szCs w:val="24"/>
          <w:highlight w:val="none"/>
        </w:rPr>
        <w:t>我单位虚假承诺所</w:t>
      </w:r>
      <w:r>
        <w:rPr>
          <w:rFonts w:hint="eastAsia" w:ascii="宋体" w:hAnsi="宋体"/>
          <w:color w:val="auto"/>
          <w:sz w:val="24"/>
          <w:szCs w:val="24"/>
          <w:highlight w:val="none"/>
        </w:rPr>
        <w:t>给予的处理。</w:t>
      </w:r>
    </w:p>
    <w:p w14:paraId="1236289C">
      <w:pPr>
        <w:tabs>
          <w:tab w:val="left" w:pos="9365"/>
        </w:tabs>
        <w:spacing w:before="57" w:after="57" w:line="586" w:lineRule="atLeast"/>
        <w:ind w:right="85"/>
        <w:jc w:val="left"/>
        <w:textAlignment w:val="top"/>
        <w:rPr>
          <w:rFonts w:ascii="宋体" w:hAnsi="宋体"/>
          <w:color w:val="auto"/>
          <w:sz w:val="24"/>
          <w:szCs w:val="24"/>
          <w:highlight w:val="none"/>
        </w:rPr>
      </w:pPr>
      <w:r>
        <w:rPr>
          <w:rFonts w:ascii="宋体" w:hAnsi="宋体"/>
          <w:color w:val="auto"/>
          <w:sz w:val="24"/>
          <w:szCs w:val="24"/>
          <w:highlight w:val="none"/>
        </w:rPr>
        <w:t> </w:t>
      </w:r>
    </w:p>
    <w:p w14:paraId="1EB25D2F">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投标人（电子签章）：</w:t>
      </w:r>
    </w:p>
    <w:p w14:paraId="63E336DC">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687B9644">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5807DB4E">
      <w:pPr>
        <w:autoSpaceDE w:val="0"/>
        <w:autoSpaceDN w:val="0"/>
        <w:adjustRightInd w:val="0"/>
        <w:spacing w:line="360" w:lineRule="auto"/>
        <w:rPr>
          <w:rFonts w:ascii="黑体" w:hAnsi="黑体" w:eastAsia="黑体"/>
          <w:b/>
          <w:color w:val="auto"/>
          <w:sz w:val="30"/>
          <w:szCs w:val="30"/>
          <w:highlight w:val="none"/>
        </w:rPr>
      </w:pPr>
    </w:p>
    <w:p w14:paraId="5F7F1E63">
      <w:pPr>
        <w:autoSpaceDE w:val="0"/>
        <w:autoSpaceDN w:val="0"/>
        <w:adjustRightInd w:val="0"/>
        <w:spacing w:line="360" w:lineRule="auto"/>
        <w:jc w:val="center"/>
        <w:rPr>
          <w:rFonts w:ascii="黑体" w:hAnsi="黑体" w:eastAsia="黑体"/>
          <w:b/>
          <w:color w:val="auto"/>
          <w:sz w:val="30"/>
          <w:szCs w:val="30"/>
          <w:highlight w:val="none"/>
        </w:rPr>
      </w:pPr>
      <w:r>
        <w:rPr>
          <w:rFonts w:ascii="宋体"/>
          <w:color w:val="auto"/>
          <w:sz w:val="24"/>
          <w:szCs w:val="24"/>
          <w:highlight w:val="none"/>
        </w:rPr>
        <w:br w:type="page"/>
      </w:r>
      <w:r>
        <w:rPr>
          <w:rFonts w:hint="eastAsia" w:ascii="黑体" w:hAnsi="黑体" w:eastAsia="黑体"/>
          <w:b/>
          <w:color w:val="auto"/>
          <w:sz w:val="30"/>
          <w:szCs w:val="30"/>
          <w:highlight w:val="none"/>
        </w:rPr>
        <w:t>投标承诺函</w:t>
      </w:r>
    </w:p>
    <w:p w14:paraId="6A274115">
      <w:pPr>
        <w:widowControl w:val="0"/>
        <w:autoSpaceDE w:val="0"/>
        <w:autoSpaceDN w:val="0"/>
        <w:adjustRightInd w:val="0"/>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（以投标承诺函形式，替代投标保证金的相关承诺事项）</w:t>
      </w:r>
    </w:p>
    <w:p w14:paraId="01B15B80">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14:paraId="39C57574">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w:t>
      </w:r>
      <w:r>
        <w:rPr>
          <w:rFonts w:hint="eastAsia"/>
          <w:color w:val="auto"/>
          <w:sz w:val="24"/>
          <w:highlight w:val="none"/>
        </w:rPr>
        <w:t>单位</w:t>
      </w:r>
      <w:r>
        <w:rPr>
          <w:rFonts w:hint="eastAsia" w:ascii="宋体" w:hAnsi="宋体"/>
          <w:color w:val="auto"/>
          <w:sz w:val="24"/>
          <w:szCs w:val="24"/>
          <w:highlight w:val="none"/>
        </w:rPr>
        <w:t>承诺：</w:t>
      </w:r>
    </w:p>
    <w:p w14:paraId="2B73D08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的原则自愿参加本项目投标；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二、在政府采购活动中提供真实、准确、有效、合法的材料，不</w:t>
      </w:r>
      <w:r>
        <w:rPr>
          <w:rFonts w:hint="eastAsia" w:ascii="宋体" w:hAnsi="宋体"/>
          <w:color w:val="auto"/>
          <w:sz w:val="24"/>
          <w:szCs w:val="24"/>
          <w:highlight w:val="none"/>
          <w:lang w:val="zh-CN"/>
        </w:rPr>
        <w:t>提供虚假材料；</w:t>
      </w:r>
    </w:p>
    <w:p w14:paraId="3B78CBF1">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三、</w:t>
      </w:r>
      <w:r>
        <w:rPr>
          <w:rFonts w:hint="eastAsia" w:ascii="宋体" w:hAnsi="宋体"/>
          <w:color w:val="auto"/>
          <w:sz w:val="24"/>
          <w:szCs w:val="24"/>
          <w:highlight w:val="none"/>
          <w:lang w:val="zh-CN"/>
        </w:rPr>
        <w:t>按照谈判文件规定，在提交投标文件截止时间后，在谈判文件规定的投标有效期限内不撤回投标文件；</w:t>
      </w:r>
    </w:p>
    <w:p w14:paraId="2C6F0E20">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四、不</w:t>
      </w:r>
      <w:r>
        <w:rPr>
          <w:rFonts w:hint="eastAsia" w:ascii="宋体" w:hAnsi="宋体"/>
          <w:color w:val="auto"/>
          <w:sz w:val="24"/>
          <w:szCs w:val="24"/>
          <w:highlight w:val="none"/>
          <w:lang w:val="zh-CN"/>
        </w:rPr>
        <w:t>与其他投标人、采购人或采购代理机构串通或恶意串通。</w:t>
      </w:r>
    </w:p>
    <w:p w14:paraId="2DA9472C">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五、如我单位中标，</w:t>
      </w:r>
      <w:r>
        <w:rPr>
          <w:rFonts w:hint="eastAsia" w:ascii="宋体" w:hAnsi="宋体"/>
          <w:color w:val="auto"/>
          <w:sz w:val="24"/>
          <w:szCs w:val="24"/>
          <w:highlight w:val="none"/>
          <w:lang w:val="zh-CN"/>
        </w:rPr>
        <w:t>除不可抗拒力或谈判文件认可的情形外</w:t>
      </w:r>
      <w:r>
        <w:rPr>
          <w:rFonts w:hint="eastAsia" w:ascii="宋体" w:hAnsi="宋体"/>
          <w:color w:val="auto"/>
          <w:sz w:val="24"/>
          <w:szCs w:val="24"/>
          <w:highlight w:val="none"/>
        </w:rPr>
        <w:t>，我单位承诺及时领取中标通知书，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六、</w:t>
      </w:r>
      <w:r>
        <w:rPr>
          <w:rFonts w:hint="eastAsia" w:ascii="宋体" w:hAnsi="宋体"/>
          <w:color w:val="auto"/>
          <w:sz w:val="24"/>
          <w:szCs w:val="24"/>
          <w:highlight w:val="none"/>
          <w:lang w:val="zh-CN"/>
        </w:rPr>
        <w:t>遵守法律法规及谈判文件规定的其他情况；</w:t>
      </w:r>
    </w:p>
    <w:p w14:paraId="68C9A68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七、按</w:t>
      </w:r>
      <w:r>
        <w:rPr>
          <w:rFonts w:hint="eastAsia" w:ascii="宋体" w:hAnsi="宋体"/>
          <w:color w:val="auto"/>
          <w:sz w:val="24"/>
          <w:szCs w:val="24"/>
          <w:highlight w:val="none"/>
          <w:lang w:val="zh-CN"/>
        </w:rPr>
        <w:t>谈判</w:t>
      </w:r>
      <w:r>
        <w:rPr>
          <w:rFonts w:hint="eastAsia" w:ascii="宋体" w:hAnsi="宋体"/>
          <w:color w:val="auto"/>
          <w:sz w:val="24"/>
          <w:szCs w:val="24"/>
          <w:highlight w:val="none"/>
        </w:rPr>
        <w:t>文件规定及时缴纳中标服务费。</w:t>
      </w:r>
    </w:p>
    <w:p w14:paraId="349D55B4">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八、违背上述承诺事项的，我单位无条件接受以下责任追究：</w:t>
      </w:r>
    </w:p>
    <w:p w14:paraId="037E83BD">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（一）法定责任：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456A6CDA">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给采购人及他人造成损失的，愿承担相应的赔偿责任。</w:t>
      </w:r>
    </w:p>
    <w:p w14:paraId="5B1A396B">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（二）违约责任：</w:t>
      </w:r>
      <w:r>
        <w:rPr>
          <w:rFonts w:hint="eastAsia" w:ascii="宋体" w:hAnsi="宋体"/>
          <w:color w:val="auto"/>
          <w:sz w:val="24"/>
          <w:szCs w:val="24"/>
          <w:highlight w:val="none"/>
        </w:rPr>
        <w:t xml:space="preserve"> </w:t>
      </w:r>
    </w:p>
    <w:p w14:paraId="6A9A561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1、已中标的，中标（成交）无效；</w:t>
      </w:r>
    </w:p>
    <w:p w14:paraId="7519D1CF">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31AD753E">
      <w:pPr>
        <w:widowControl w:val="0"/>
        <w:tabs>
          <w:tab w:val="left" w:pos="65"/>
        </w:tabs>
        <w:spacing w:line="460" w:lineRule="atLeast"/>
        <w:ind w:firstLine="480" w:firstLineChars="200"/>
        <w:textAlignment w:val="auto"/>
        <w:rPr>
          <w:color w:val="auto"/>
          <w:sz w:val="24"/>
          <w:highlight w:val="none"/>
          <w:lang w:val="zh-CN"/>
        </w:rPr>
      </w:pPr>
      <w:r>
        <w:rPr>
          <w:rFonts w:hint="eastAsia" w:ascii="宋体" w:hAnsi="宋体"/>
          <w:color w:val="auto"/>
          <w:sz w:val="24"/>
          <w:szCs w:val="24"/>
          <w:highlight w:val="none"/>
        </w:rPr>
        <w:t>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原则，在履行承诺前，代理机构将视我单位为失信企业、不予办理其后相关业务。</w:t>
      </w:r>
    </w:p>
    <w:p w14:paraId="53D5E4AF">
      <w:pPr>
        <w:widowControl w:val="0"/>
        <w:autoSpaceDE w:val="0"/>
        <w:autoSpaceDN w:val="0"/>
        <w:adjustRightInd w:val="0"/>
        <w:spacing w:line="460" w:lineRule="atLeast"/>
        <w:ind w:left="-2" w:right="-817" w:hanging="149"/>
        <w:textAlignment w:val="auto"/>
        <w:rPr>
          <w:rFonts w:ascii="宋体" w:cs="楷体_GB2312"/>
          <w:color w:val="auto"/>
          <w:sz w:val="24"/>
          <w:highlight w:val="none"/>
          <w:lang w:val="zh-CN"/>
        </w:rPr>
      </w:pPr>
    </w:p>
    <w:p w14:paraId="075DC0F6">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投标人（电子签章）：</w:t>
      </w:r>
    </w:p>
    <w:p w14:paraId="7234AAE1">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2FD5A36A">
      <w:pPr>
        <w:widowControl w:val="0"/>
        <w:autoSpaceDE w:val="0"/>
        <w:autoSpaceDN w:val="0"/>
        <w:adjustRightInd w:val="0"/>
        <w:spacing w:line="240" w:lineRule="auto"/>
        <w:ind w:right="-816"/>
        <w:textAlignment w:val="auto"/>
        <w:rPr>
          <w:color w:val="auto"/>
          <w:sz w:val="24"/>
          <w:szCs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577C1529">
      <w:pPr>
        <w:autoSpaceDE w:val="0"/>
        <w:autoSpaceDN w:val="0"/>
        <w:adjustRightInd w:val="0"/>
        <w:spacing w:line="360" w:lineRule="auto"/>
        <w:jc w:val="center"/>
        <w:rPr>
          <w:rFonts w:ascii="宋体"/>
          <w:color w:val="auto"/>
          <w:sz w:val="24"/>
          <w:szCs w:val="24"/>
          <w:highlight w:val="none"/>
        </w:rPr>
      </w:pPr>
      <w:r>
        <w:rPr>
          <w:rFonts w:ascii="宋体"/>
          <w:color w:val="auto"/>
          <w:sz w:val="24"/>
          <w:szCs w:val="24"/>
          <w:highlight w:val="none"/>
        </w:rPr>
        <w:br w:type="page"/>
      </w:r>
    </w:p>
    <w:p w14:paraId="2049D56D">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十二、采购项目及服务要求所需的其他材料</w:t>
      </w:r>
    </w:p>
    <w:p w14:paraId="1C2558A6">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04898277">
      <w:pPr>
        <w:widowControl w:val="0"/>
        <w:snapToGrid w:val="0"/>
        <w:spacing w:line="560" w:lineRule="exact"/>
        <w:ind w:firstLine="555"/>
        <w:rPr>
          <w:rFonts w:ascii="宋体"/>
          <w:color w:val="auto"/>
          <w:sz w:val="24"/>
          <w:szCs w:val="24"/>
          <w:highlight w:val="none"/>
        </w:rPr>
      </w:pPr>
    </w:p>
    <w:p w14:paraId="4A57F892">
      <w:pPr>
        <w:widowControl w:val="0"/>
        <w:snapToGrid w:val="0"/>
        <w:spacing w:line="560" w:lineRule="exact"/>
        <w:ind w:firstLine="555"/>
        <w:rPr>
          <w:rFonts w:ascii="宋体"/>
          <w:color w:val="auto"/>
          <w:sz w:val="24"/>
          <w:szCs w:val="24"/>
          <w:highlight w:val="none"/>
        </w:rPr>
      </w:pPr>
    </w:p>
    <w:p w14:paraId="3B4CA3FB">
      <w:pPr>
        <w:autoSpaceDE w:val="0"/>
        <w:autoSpaceDN w:val="0"/>
        <w:adjustRightInd w:val="0"/>
        <w:spacing w:line="360" w:lineRule="auto"/>
        <w:jc w:val="center"/>
        <w:rPr>
          <w:rFonts w:eastAsia="方正黑体简体"/>
          <w:b/>
          <w:color w:val="auto"/>
          <w:sz w:val="30"/>
          <w:szCs w:val="30"/>
          <w:highlight w:val="none"/>
        </w:rPr>
      </w:pPr>
    </w:p>
    <w:p w14:paraId="6F5BEA1E">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十三、投标人须知所需的其他材料</w:t>
      </w:r>
    </w:p>
    <w:p w14:paraId="3813AB07">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3EF3D472">
      <w:pPr>
        <w:autoSpaceDE w:val="0"/>
        <w:autoSpaceDN w:val="0"/>
        <w:adjustRightInd w:val="0"/>
        <w:spacing w:line="360" w:lineRule="auto"/>
        <w:jc w:val="center"/>
        <w:rPr>
          <w:rFonts w:ascii="宋体"/>
          <w:color w:val="auto"/>
          <w:sz w:val="24"/>
          <w:szCs w:val="24"/>
          <w:highlight w:val="none"/>
        </w:rPr>
      </w:pPr>
    </w:p>
    <w:p w14:paraId="14359506">
      <w:pPr>
        <w:autoSpaceDE w:val="0"/>
        <w:autoSpaceDN w:val="0"/>
        <w:adjustRightInd w:val="0"/>
        <w:spacing w:line="360" w:lineRule="auto"/>
        <w:jc w:val="center"/>
        <w:rPr>
          <w:rFonts w:ascii="宋体"/>
          <w:color w:val="auto"/>
          <w:sz w:val="24"/>
          <w:szCs w:val="24"/>
          <w:highlight w:val="none"/>
        </w:rPr>
      </w:pPr>
    </w:p>
    <w:p w14:paraId="4E159FC8">
      <w:pPr>
        <w:autoSpaceDE w:val="0"/>
        <w:autoSpaceDN w:val="0"/>
        <w:adjustRightInd w:val="0"/>
        <w:spacing w:line="360" w:lineRule="auto"/>
        <w:jc w:val="center"/>
        <w:rPr>
          <w:rFonts w:ascii="宋体"/>
          <w:color w:val="auto"/>
          <w:sz w:val="24"/>
          <w:szCs w:val="24"/>
          <w:highlight w:val="none"/>
        </w:rPr>
      </w:pPr>
    </w:p>
    <w:p w14:paraId="6C331E1C">
      <w:pPr>
        <w:autoSpaceDE w:val="0"/>
        <w:autoSpaceDN w:val="0"/>
        <w:adjustRightInd w:val="0"/>
        <w:spacing w:line="360" w:lineRule="auto"/>
        <w:jc w:val="center"/>
        <w:rPr>
          <w:rFonts w:eastAsia="方正黑体简体"/>
          <w:b/>
          <w:color w:val="auto"/>
          <w:sz w:val="30"/>
          <w:szCs w:val="30"/>
          <w:highlight w:val="none"/>
        </w:rPr>
      </w:pPr>
    </w:p>
    <w:p w14:paraId="3244EDEB">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十四、评审办法所需的其他材料</w:t>
      </w:r>
    </w:p>
    <w:p w14:paraId="3F109B63">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4A97AFEE">
      <w:pPr>
        <w:autoSpaceDE w:val="0"/>
        <w:autoSpaceDN w:val="0"/>
        <w:adjustRightInd w:val="0"/>
        <w:spacing w:line="360" w:lineRule="auto"/>
        <w:jc w:val="center"/>
        <w:rPr>
          <w:rFonts w:ascii="宋体"/>
          <w:color w:val="auto"/>
          <w:sz w:val="24"/>
          <w:szCs w:val="24"/>
          <w:highlight w:val="none"/>
        </w:rPr>
      </w:pPr>
    </w:p>
    <w:p w14:paraId="6C70B4DE">
      <w:pPr>
        <w:autoSpaceDE w:val="0"/>
        <w:autoSpaceDN w:val="0"/>
        <w:adjustRightInd w:val="0"/>
        <w:spacing w:line="360" w:lineRule="auto"/>
        <w:jc w:val="center"/>
        <w:rPr>
          <w:rFonts w:ascii="宋体"/>
          <w:color w:val="auto"/>
          <w:sz w:val="24"/>
          <w:szCs w:val="24"/>
          <w:highlight w:val="none"/>
        </w:rPr>
      </w:pPr>
    </w:p>
    <w:p w14:paraId="1C7B1723">
      <w:pPr>
        <w:widowControl w:val="0"/>
        <w:snapToGrid w:val="0"/>
        <w:spacing w:line="560" w:lineRule="exact"/>
        <w:rPr>
          <w:rFonts w:ascii="宋体"/>
          <w:color w:val="auto"/>
          <w:sz w:val="24"/>
          <w:szCs w:val="24"/>
          <w:highlight w:val="none"/>
        </w:rPr>
      </w:pPr>
      <w:r>
        <w:rPr>
          <w:rFonts w:ascii="宋体"/>
          <w:color w:val="auto"/>
          <w:sz w:val="24"/>
          <w:szCs w:val="24"/>
          <w:highlight w:val="none"/>
        </w:rPr>
        <w:br w:type="page"/>
      </w:r>
    </w:p>
    <w:p w14:paraId="2E879215">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十五、投标人认为有必要提交的其它材料</w:t>
      </w:r>
    </w:p>
    <w:p w14:paraId="16514EAC">
      <w:pPr>
        <w:autoSpaceDE w:val="0"/>
        <w:autoSpaceDN w:val="0"/>
        <w:adjustRightInd w:val="0"/>
        <w:spacing w:line="360" w:lineRule="auto"/>
        <w:jc w:val="center"/>
        <w:rPr>
          <w:rFonts w:ascii="宋体"/>
          <w:color w:val="auto"/>
          <w:sz w:val="24"/>
          <w:szCs w:val="24"/>
          <w:highlight w:val="none"/>
        </w:rPr>
      </w:pPr>
      <w:r>
        <w:rPr>
          <w:rFonts w:hint="eastAsia" w:ascii="宋体" w:hAnsi="宋体"/>
          <w:color w:val="auto"/>
          <w:sz w:val="24"/>
          <w:szCs w:val="24"/>
          <w:highlight w:val="none"/>
        </w:rPr>
        <w:t>（由法定代表人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01AE592F">
      <w:pPr>
        <w:autoSpaceDE w:val="0"/>
        <w:autoSpaceDN w:val="0"/>
        <w:adjustRightInd w:val="0"/>
        <w:spacing w:line="360" w:lineRule="auto"/>
        <w:rPr>
          <w:rFonts w:ascii="宋体"/>
          <w:b/>
          <w:bCs/>
          <w:color w:val="auto"/>
          <w:sz w:val="24"/>
          <w:highlight w:val="none"/>
        </w:rPr>
      </w:pPr>
    </w:p>
    <w:sectPr>
      <w:pgSz w:w="11905" w:h="16837"/>
      <w:pgMar w:top="1091" w:right="1106" w:bottom="993" w:left="1418"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Adobe 宋体 Std L">
    <w:altName w:val="宋体"/>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94D7">
    <w:pPr>
      <w:widowControl w:val="0"/>
      <w:snapToGrid w:val="0"/>
      <w:spacing w:line="240" w:lineRule="atLeast"/>
      <w:ind w:right="21"/>
      <w:jc w:val="left"/>
      <w:rPr>
        <w:rFonts w:ascii="宋体" w:hAnsi="宋体"/>
        <w:szCs w:val="21"/>
        <w:u w:val="single"/>
      </w:rPr>
    </w:pPr>
    <w:r>
      <w:rPr>
        <w:rFonts w:hint="eastAsia" w:ascii="宋体" w:hAnsi="宋体"/>
        <w:szCs w:val="21"/>
        <w:u w:val="single"/>
      </w:rPr>
      <w:t>《谈判文件》</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19"/>
        <w:rFonts w:ascii="宋体" w:hAnsi="宋体"/>
        <w:szCs w:val="21"/>
        <w:u w:val="single"/>
      </w:rPr>
      <w:fldChar w:fldCharType="begin"/>
    </w:r>
    <w:r>
      <w:rPr>
        <w:rStyle w:val="19"/>
        <w:rFonts w:ascii="宋体" w:hAnsi="宋体"/>
        <w:szCs w:val="21"/>
        <w:u w:val="single"/>
      </w:rPr>
      <w:instrText xml:space="preserve"> PAGE </w:instrText>
    </w:r>
    <w:r>
      <w:rPr>
        <w:rStyle w:val="19"/>
        <w:rFonts w:ascii="宋体" w:hAnsi="宋体"/>
        <w:szCs w:val="21"/>
        <w:u w:val="single"/>
      </w:rPr>
      <w:fldChar w:fldCharType="separate"/>
    </w:r>
    <w:r>
      <w:rPr>
        <w:rStyle w:val="19"/>
        <w:rFonts w:ascii="宋体" w:hAnsi="宋体"/>
        <w:szCs w:val="21"/>
        <w:u w:val="single"/>
      </w:rPr>
      <w:t>- 5 -</w:t>
    </w:r>
    <w:r>
      <w:rPr>
        <w:rStyle w:val="19"/>
        <w:rFonts w:ascii="宋体" w:hAnsi="宋体"/>
        <w:szCs w:val="21"/>
        <w:u w:val="single"/>
      </w:rPr>
      <w:fldChar w:fldCharType="end"/>
    </w:r>
    <w:r>
      <w:rPr>
        <w:rStyle w:val="19"/>
        <w:rFonts w:ascii="宋体" w:hAnsi="宋体"/>
        <w:szCs w:val="21"/>
        <w:u w:val="single"/>
      </w:rPr>
      <w:t xml:space="preserve"> </w:t>
    </w:r>
    <w:r>
      <w:rPr>
        <w:rStyle w:val="19"/>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19"/>
        <w:szCs w:val="21"/>
        <w:u w:val="single"/>
      </w:rPr>
      <w:t>62</w:t>
    </w:r>
    <w:r>
      <w:rPr>
        <w:rStyle w:val="19"/>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文本框 1026"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ne5yNkAAAAOAQAADwAAAAAAAAABACAAAAAiAAAAZHJzL2Rvd25yZXYueG1sUEsBAhQA&#10;FAAAAAgAh07iQJo/E4C4AQAAagMAAA4AAAAAAAAAAQAgAAAAKAEAAGRycy9lMm9Eb2MueG1sUEsF&#10;BgAAAAAGAAYAWQEAAFI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8904">
    <w:pPr>
      <w:pStyle w:val="9"/>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14:paraId="4025CA3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0B708">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381A">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1" name="Text Box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dN05x2AAAAAoBAAAP&#10;AAAAAAAAAAEAIAAAACIAAABkcnMvZG93bnJldi54bWxQSwECFAAUAAAACACHTuJAs2EH6qYBAABm&#10;AwAADgAAAAAAAAABACAAAAAnAQAAZHJzL2Uyb0RvYy54bWxQSwUGAAAAAAYABgBZAQAAPwUAAAAA&#10;">
              <v:fill on="f"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abstractNum w:abstractNumId="1">
    <w:nsid w:val="6870D2A1"/>
    <w:multiLevelType w:val="singleLevel"/>
    <w:tmpl w:val="6870D2A1"/>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dit="forms" w:formatting="1" w:enforcement="1" w:cryptProviderType="rsaFull" w:cryptAlgorithmClass="hash" w:cryptAlgorithmType="typeAny" w:cryptAlgorithmSid="4" w:cryptSpinCount="0" w:hash="hJQYJfcwe0KKAChs4JCF4mOKSUU=" w:salt="EqRhbrLXbPhD5ijmvAMgzg=="/>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0B"/>
    <w:rsid w:val="00001D7A"/>
    <w:rsid w:val="00003060"/>
    <w:rsid w:val="000055BB"/>
    <w:rsid w:val="00010FD3"/>
    <w:rsid w:val="00012EA6"/>
    <w:rsid w:val="00013814"/>
    <w:rsid w:val="00013DB2"/>
    <w:rsid w:val="00017CFC"/>
    <w:rsid w:val="00017E1E"/>
    <w:rsid w:val="00023676"/>
    <w:rsid w:val="00024608"/>
    <w:rsid w:val="0002507F"/>
    <w:rsid w:val="00025F1E"/>
    <w:rsid w:val="0002643A"/>
    <w:rsid w:val="0002701F"/>
    <w:rsid w:val="0002774A"/>
    <w:rsid w:val="000339BC"/>
    <w:rsid w:val="00034EBE"/>
    <w:rsid w:val="00035118"/>
    <w:rsid w:val="0003567F"/>
    <w:rsid w:val="00035CA9"/>
    <w:rsid w:val="00036AA4"/>
    <w:rsid w:val="00041891"/>
    <w:rsid w:val="00042CA8"/>
    <w:rsid w:val="00043821"/>
    <w:rsid w:val="00043CBA"/>
    <w:rsid w:val="00044F84"/>
    <w:rsid w:val="00046A4B"/>
    <w:rsid w:val="00046C08"/>
    <w:rsid w:val="0005241B"/>
    <w:rsid w:val="000565C4"/>
    <w:rsid w:val="00057F78"/>
    <w:rsid w:val="000602CF"/>
    <w:rsid w:val="0006134B"/>
    <w:rsid w:val="00062821"/>
    <w:rsid w:val="00072834"/>
    <w:rsid w:val="000738CA"/>
    <w:rsid w:val="0007390E"/>
    <w:rsid w:val="00073A45"/>
    <w:rsid w:val="00074766"/>
    <w:rsid w:val="00077629"/>
    <w:rsid w:val="00080AE9"/>
    <w:rsid w:val="00081092"/>
    <w:rsid w:val="00081801"/>
    <w:rsid w:val="00081ACD"/>
    <w:rsid w:val="00081C6C"/>
    <w:rsid w:val="00081EB8"/>
    <w:rsid w:val="00081F16"/>
    <w:rsid w:val="00081F58"/>
    <w:rsid w:val="000823AD"/>
    <w:rsid w:val="000829A8"/>
    <w:rsid w:val="000832B2"/>
    <w:rsid w:val="0008431C"/>
    <w:rsid w:val="0008447C"/>
    <w:rsid w:val="000847D3"/>
    <w:rsid w:val="00086B70"/>
    <w:rsid w:val="00087637"/>
    <w:rsid w:val="000900BA"/>
    <w:rsid w:val="00090D6B"/>
    <w:rsid w:val="00090EB6"/>
    <w:rsid w:val="00090FEC"/>
    <w:rsid w:val="00091C5E"/>
    <w:rsid w:val="00092A9B"/>
    <w:rsid w:val="00092FFF"/>
    <w:rsid w:val="000933F0"/>
    <w:rsid w:val="00093A6B"/>
    <w:rsid w:val="00093D33"/>
    <w:rsid w:val="000956CE"/>
    <w:rsid w:val="0009779D"/>
    <w:rsid w:val="000A0EDD"/>
    <w:rsid w:val="000A152E"/>
    <w:rsid w:val="000A1C72"/>
    <w:rsid w:val="000A2E93"/>
    <w:rsid w:val="000A3597"/>
    <w:rsid w:val="000A36C8"/>
    <w:rsid w:val="000A3FE8"/>
    <w:rsid w:val="000A4640"/>
    <w:rsid w:val="000A55EE"/>
    <w:rsid w:val="000A6CD3"/>
    <w:rsid w:val="000A6D2F"/>
    <w:rsid w:val="000A7E88"/>
    <w:rsid w:val="000B1334"/>
    <w:rsid w:val="000B19C7"/>
    <w:rsid w:val="000B1BD0"/>
    <w:rsid w:val="000B22A3"/>
    <w:rsid w:val="000B4758"/>
    <w:rsid w:val="000B5412"/>
    <w:rsid w:val="000B6571"/>
    <w:rsid w:val="000B709F"/>
    <w:rsid w:val="000C2AA6"/>
    <w:rsid w:val="000C2ED3"/>
    <w:rsid w:val="000C4940"/>
    <w:rsid w:val="000C4BA5"/>
    <w:rsid w:val="000D0476"/>
    <w:rsid w:val="000D1B58"/>
    <w:rsid w:val="000D2631"/>
    <w:rsid w:val="000D619E"/>
    <w:rsid w:val="000D7406"/>
    <w:rsid w:val="000E02FC"/>
    <w:rsid w:val="000E2432"/>
    <w:rsid w:val="000E4B27"/>
    <w:rsid w:val="000E4CE0"/>
    <w:rsid w:val="000E54A0"/>
    <w:rsid w:val="000E632B"/>
    <w:rsid w:val="000E6AAA"/>
    <w:rsid w:val="000F0324"/>
    <w:rsid w:val="000F108C"/>
    <w:rsid w:val="000F3188"/>
    <w:rsid w:val="000F32BA"/>
    <w:rsid w:val="000F3D46"/>
    <w:rsid w:val="000F4146"/>
    <w:rsid w:val="000F71A3"/>
    <w:rsid w:val="000F73C6"/>
    <w:rsid w:val="000F7917"/>
    <w:rsid w:val="001019D8"/>
    <w:rsid w:val="00101EAB"/>
    <w:rsid w:val="001023AB"/>
    <w:rsid w:val="001041CB"/>
    <w:rsid w:val="001046AA"/>
    <w:rsid w:val="00105873"/>
    <w:rsid w:val="00107435"/>
    <w:rsid w:val="00110434"/>
    <w:rsid w:val="001118D4"/>
    <w:rsid w:val="00113293"/>
    <w:rsid w:val="001163D8"/>
    <w:rsid w:val="00116DFD"/>
    <w:rsid w:val="00120C96"/>
    <w:rsid w:val="001212EB"/>
    <w:rsid w:val="00122298"/>
    <w:rsid w:val="0012307F"/>
    <w:rsid w:val="00123128"/>
    <w:rsid w:val="001234C9"/>
    <w:rsid w:val="00124F88"/>
    <w:rsid w:val="00126132"/>
    <w:rsid w:val="0012732E"/>
    <w:rsid w:val="001279FE"/>
    <w:rsid w:val="0013041F"/>
    <w:rsid w:val="001304AB"/>
    <w:rsid w:val="00131B13"/>
    <w:rsid w:val="00131CCB"/>
    <w:rsid w:val="00132172"/>
    <w:rsid w:val="001321E1"/>
    <w:rsid w:val="00132364"/>
    <w:rsid w:val="00132A89"/>
    <w:rsid w:val="001342A5"/>
    <w:rsid w:val="00135227"/>
    <w:rsid w:val="00135251"/>
    <w:rsid w:val="001378C9"/>
    <w:rsid w:val="001401E4"/>
    <w:rsid w:val="00141474"/>
    <w:rsid w:val="00141D13"/>
    <w:rsid w:val="00142572"/>
    <w:rsid w:val="00142EF6"/>
    <w:rsid w:val="00143832"/>
    <w:rsid w:val="00144E92"/>
    <w:rsid w:val="00146C37"/>
    <w:rsid w:val="001507A5"/>
    <w:rsid w:val="00152007"/>
    <w:rsid w:val="00152E6D"/>
    <w:rsid w:val="001532B2"/>
    <w:rsid w:val="001537D5"/>
    <w:rsid w:val="00154FBD"/>
    <w:rsid w:val="00155298"/>
    <w:rsid w:val="00155525"/>
    <w:rsid w:val="00155640"/>
    <w:rsid w:val="00157B0E"/>
    <w:rsid w:val="00161255"/>
    <w:rsid w:val="00164692"/>
    <w:rsid w:val="00165AF5"/>
    <w:rsid w:val="00165EA5"/>
    <w:rsid w:val="00166938"/>
    <w:rsid w:val="0016693E"/>
    <w:rsid w:val="001672C3"/>
    <w:rsid w:val="0016783C"/>
    <w:rsid w:val="001678FA"/>
    <w:rsid w:val="001708C3"/>
    <w:rsid w:val="00170AE1"/>
    <w:rsid w:val="00170E55"/>
    <w:rsid w:val="00170F9A"/>
    <w:rsid w:val="00171381"/>
    <w:rsid w:val="001719D7"/>
    <w:rsid w:val="0017234B"/>
    <w:rsid w:val="00172A27"/>
    <w:rsid w:val="00172A7E"/>
    <w:rsid w:val="00175E3A"/>
    <w:rsid w:val="001777B6"/>
    <w:rsid w:val="0017792A"/>
    <w:rsid w:val="00180E2F"/>
    <w:rsid w:val="001818E5"/>
    <w:rsid w:val="00181A4E"/>
    <w:rsid w:val="00182803"/>
    <w:rsid w:val="00183BF5"/>
    <w:rsid w:val="00183C38"/>
    <w:rsid w:val="00186AF5"/>
    <w:rsid w:val="00193FCE"/>
    <w:rsid w:val="001941B8"/>
    <w:rsid w:val="00194451"/>
    <w:rsid w:val="001949DF"/>
    <w:rsid w:val="00194D1C"/>
    <w:rsid w:val="00195036"/>
    <w:rsid w:val="0019595A"/>
    <w:rsid w:val="00195D3C"/>
    <w:rsid w:val="0019697C"/>
    <w:rsid w:val="001A0309"/>
    <w:rsid w:val="001A0470"/>
    <w:rsid w:val="001A1BB5"/>
    <w:rsid w:val="001A1D5B"/>
    <w:rsid w:val="001A246D"/>
    <w:rsid w:val="001A47BB"/>
    <w:rsid w:val="001A6EC8"/>
    <w:rsid w:val="001A7078"/>
    <w:rsid w:val="001A733E"/>
    <w:rsid w:val="001A786E"/>
    <w:rsid w:val="001B399F"/>
    <w:rsid w:val="001B3DD4"/>
    <w:rsid w:val="001B50D6"/>
    <w:rsid w:val="001B5626"/>
    <w:rsid w:val="001B6072"/>
    <w:rsid w:val="001B63AC"/>
    <w:rsid w:val="001C050D"/>
    <w:rsid w:val="001C2D34"/>
    <w:rsid w:val="001C397C"/>
    <w:rsid w:val="001C6505"/>
    <w:rsid w:val="001C71F2"/>
    <w:rsid w:val="001C77C2"/>
    <w:rsid w:val="001D0621"/>
    <w:rsid w:val="001D0DA4"/>
    <w:rsid w:val="001D14A1"/>
    <w:rsid w:val="001D17A7"/>
    <w:rsid w:val="001D23F7"/>
    <w:rsid w:val="001D2F63"/>
    <w:rsid w:val="001D3921"/>
    <w:rsid w:val="001D3B0B"/>
    <w:rsid w:val="001D4968"/>
    <w:rsid w:val="001D57AD"/>
    <w:rsid w:val="001D5C73"/>
    <w:rsid w:val="001D5E76"/>
    <w:rsid w:val="001D6398"/>
    <w:rsid w:val="001E04F2"/>
    <w:rsid w:val="001E0A3F"/>
    <w:rsid w:val="001E1A46"/>
    <w:rsid w:val="001E30AE"/>
    <w:rsid w:val="001E45BE"/>
    <w:rsid w:val="001E4C21"/>
    <w:rsid w:val="001E58CE"/>
    <w:rsid w:val="001E645A"/>
    <w:rsid w:val="001E66B1"/>
    <w:rsid w:val="001E7368"/>
    <w:rsid w:val="001F0376"/>
    <w:rsid w:val="001F0470"/>
    <w:rsid w:val="001F1A30"/>
    <w:rsid w:val="001F1AC5"/>
    <w:rsid w:val="001F4C70"/>
    <w:rsid w:val="001F5DAF"/>
    <w:rsid w:val="001F6921"/>
    <w:rsid w:val="001F6D7D"/>
    <w:rsid w:val="00200A06"/>
    <w:rsid w:val="00200B9A"/>
    <w:rsid w:val="00200E90"/>
    <w:rsid w:val="002011F8"/>
    <w:rsid w:val="00201E27"/>
    <w:rsid w:val="00202132"/>
    <w:rsid w:val="002044AE"/>
    <w:rsid w:val="002052BF"/>
    <w:rsid w:val="002053C1"/>
    <w:rsid w:val="00205670"/>
    <w:rsid w:val="00205DC9"/>
    <w:rsid w:val="0020635B"/>
    <w:rsid w:val="002064E1"/>
    <w:rsid w:val="00207173"/>
    <w:rsid w:val="00207193"/>
    <w:rsid w:val="00210346"/>
    <w:rsid w:val="00212022"/>
    <w:rsid w:val="002146E7"/>
    <w:rsid w:val="002149A3"/>
    <w:rsid w:val="00214DD7"/>
    <w:rsid w:val="00214F54"/>
    <w:rsid w:val="00215479"/>
    <w:rsid w:val="002155C5"/>
    <w:rsid w:val="00217326"/>
    <w:rsid w:val="0022149C"/>
    <w:rsid w:val="00221561"/>
    <w:rsid w:val="00221997"/>
    <w:rsid w:val="00222752"/>
    <w:rsid w:val="002228C6"/>
    <w:rsid w:val="0022294E"/>
    <w:rsid w:val="002238AE"/>
    <w:rsid w:val="002243D1"/>
    <w:rsid w:val="00225DB3"/>
    <w:rsid w:val="0023012A"/>
    <w:rsid w:val="00230C43"/>
    <w:rsid w:val="00231D21"/>
    <w:rsid w:val="0023255F"/>
    <w:rsid w:val="00232CD0"/>
    <w:rsid w:val="002341A2"/>
    <w:rsid w:val="00237A15"/>
    <w:rsid w:val="00240733"/>
    <w:rsid w:val="00240FF8"/>
    <w:rsid w:val="002414E5"/>
    <w:rsid w:val="00241D3A"/>
    <w:rsid w:val="0024269B"/>
    <w:rsid w:val="00242A60"/>
    <w:rsid w:val="00244532"/>
    <w:rsid w:val="00246DB1"/>
    <w:rsid w:val="00247523"/>
    <w:rsid w:val="00247993"/>
    <w:rsid w:val="002511FE"/>
    <w:rsid w:val="00252113"/>
    <w:rsid w:val="002529D6"/>
    <w:rsid w:val="002551E0"/>
    <w:rsid w:val="0025530F"/>
    <w:rsid w:val="002558EA"/>
    <w:rsid w:val="00255F14"/>
    <w:rsid w:val="002574D7"/>
    <w:rsid w:val="00257B22"/>
    <w:rsid w:val="0026010A"/>
    <w:rsid w:val="002602F6"/>
    <w:rsid w:val="002661D7"/>
    <w:rsid w:val="002665E4"/>
    <w:rsid w:val="00266EB2"/>
    <w:rsid w:val="002673AF"/>
    <w:rsid w:val="00267440"/>
    <w:rsid w:val="0027067C"/>
    <w:rsid w:val="00270EED"/>
    <w:rsid w:val="00270FE1"/>
    <w:rsid w:val="00271ABB"/>
    <w:rsid w:val="00272723"/>
    <w:rsid w:val="00272B6B"/>
    <w:rsid w:val="00272DEC"/>
    <w:rsid w:val="002751DF"/>
    <w:rsid w:val="002759A2"/>
    <w:rsid w:val="00276204"/>
    <w:rsid w:val="00280E45"/>
    <w:rsid w:val="002810F8"/>
    <w:rsid w:val="00281565"/>
    <w:rsid w:val="00282B24"/>
    <w:rsid w:val="00283074"/>
    <w:rsid w:val="00285049"/>
    <w:rsid w:val="00290B53"/>
    <w:rsid w:val="00290D50"/>
    <w:rsid w:val="0029169A"/>
    <w:rsid w:val="00293F3F"/>
    <w:rsid w:val="0029442F"/>
    <w:rsid w:val="002954F0"/>
    <w:rsid w:val="0029595B"/>
    <w:rsid w:val="00295A34"/>
    <w:rsid w:val="0029613E"/>
    <w:rsid w:val="00296501"/>
    <w:rsid w:val="002975BF"/>
    <w:rsid w:val="002A0347"/>
    <w:rsid w:val="002A2B5C"/>
    <w:rsid w:val="002A4898"/>
    <w:rsid w:val="002A4B93"/>
    <w:rsid w:val="002A4F6F"/>
    <w:rsid w:val="002A5411"/>
    <w:rsid w:val="002A7325"/>
    <w:rsid w:val="002A7814"/>
    <w:rsid w:val="002B07DD"/>
    <w:rsid w:val="002B1EC7"/>
    <w:rsid w:val="002B5E0D"/>
    <w:rsid w:val="002B68F5"/>
    <w:rsid w:val="002C00FF"/>
    <w:rsid w:val="002C11FF"/>
    <w:rsid w:val="002C13E7"/>
    <w:rsid w:val="002C13ED"/>
    <w:rsid w:val="002C1681"/>
    <w:rsid w:val="002C3330"/>
    <w:rsid w:val="002C6208"/>
    <w:rsid w:val="002C6933"/>
    <w:rsid w:val="002C74B6"/>
    <w:rsid w:val="002D0379"/>
    <w:rsid w:val="002D14BE"/>
    <w:rsid w:val="002D272C"/>
    <w:rsid w:val="002D35EE"/>
    <w:rsid w:val="002D40A9"/>
    <w:rsid w:val="002D5868"/>
    <w:rsid w:val="002D6349"/>
    <w:rsid w:val="002D6B6F"/>
    <w:rsid w:val="002D7623"/>
    <w:rsid w:val="002D7628"/>
    <w:rsid w:val="002D7A77"/>
    <w:rsid w:val="002D7AB6"/>
    <w:rsid w:val="002D7BE8"/>
    <w:rsid w:val="002D7F13"/>
    <w:rsid w:val="002E098C"/>
    <w:rsid w:val="002E15EE"/>
    <w:rsid w:val="002E2367"/>
    <w:rsid w:val="002E3E40"/>
    <w:rsid w:val="002E5245"/>
    <w:rsid w:val="002E60E6"/>
    <w:rsid w:val="002E650E"/>
    <w:rsid w:val="002E76EF"/>
    <w:rsid w:val="002E7E70"/>
    <w:rsid w:val="002F08C6"/>
    <w:rsid w:val="002F08FA"/>
    <w:rsid w:val="002F24F3"/>
    <w:rsid w:val="002F2754"/>
    <w:rsid w:val="002F32BA"/>
    <w:rsid w:val="002F37CB"/>
    <w:rsid w:val="002F4ADA"/>
    <w:rsid w:val="002F5465"/>
    <w:rsid w:val="002F7AD0"/>
    <w:rsid w:val="002F7EF3"/>
    <w:rsid w:val="00300192"/>
    <w:rsid w:val="00300564"/>
    <w:rsid w:val="0030169A"/>
    <w:rsid w:val="00302091"/>
    <w:rsid w:val="00306123"/>
    <w:rsid w:val="00307CF1"/>
    <w:rsid w:val="0031007D"/>
    <w:rsid w:val="00311B9B"/>
    <w:rsid w:val="003144F4"/>
    <w:rsid w:val="003157D1"/>
    <w:rsid w:val="003167BE"/>
    <w:rsid w:val="00316A48"/>
    <w:rsid w:val="00317222"/>
    <w:rsid w:val="003214B1"/>
    <w:rsid w:val="00322799"/>
    <w:rsid w:val="0032321A"/>
    <w:rsid w:val="003241F1"/>
    <w:rsid w:val="0032467A"/>
    <w:rsid w:val="0032568F"/>
    <w:rsid w:val="0032749E"/>
    <w:rsid w:val="00332B99"/>
    <w:rsid w:val="003343B3"/>
    <w:rsid w:val="00334CC7"/>
    <w:rsid w:val="0033552B"/>
    <w:rsid w:val="003355B7"/>
    <w:rsid w:val="00336881"/>
    <w:rsid w:val="00336AAB"/>
    <w:rsid w:val="00340B42"/>
    <w:rsid w:val="00341021"/>
    <w:rsid w:val="00341F13"/>
    <w:rsid w:val="003429CA"/>
    <w:rsid w:val="003431FD"/>
    <w:rsid w:val="00343634"/>
    <w:rsid w:val="00343A1D"/>
    <w:rsid w:val="00343D9C"/>
    <w:rsid w:val="00343E5C"/>
    <w:rsid w:val="003445EE"/>
    <w:rsid w:val="00344CFC"/>
    <w:rsid w:val="003500BA"/>
    <w:rsid w:val="0035121B"/>
    <w:rsid w:val="00351933"/>
    <w:rsid w:val="00352D4E"/>
    <w:rsid w:val="00355DB8"/>
    <w:rsid w:val="00357E65"/>
    <w:rsid w:val="00357F64"/>
    <w:rsid w:val="0036067C"/>
    <w:rsid w:val="003612D6"/>
    <w:rsid w:val="003634F4"/>
    <w:rsid w:val="00363B02"/>
    <w:rsid w:val="003642B6"/>
    <w:rsid w:val="00364E6B"/>
    <w:rsid w:val="00365BD8"/>
    <w:rsid w:val="00366F69"/>
    <w:rsid w:val="00371760"/>
    <w:rsid w:val="00372115"/>
    <w:rsid w:val="00372702"/>
    <w:rsid w:val="003738EA"/>
    <w:rsid w:val="00374310"/>
    <w:rsid w:val="003749DF"/>
    <w:rsid w:val="00374E90"/>
    <w:rsid w:val="00376869"/>
    <w:rsid w:val="00380598"/>
    <w:rsid w:val="00381B01"/>
    <w:rsid w:val="003829D9"/>
    <w:rsid w:val="003832F9"/>
    <w:rsid w:val="00383B07"/>
    <w:rsid w:val="00383B17"/>
    <w:rsid w:val="00384A92"/>
    <w:rsid w:val="003854F3"/>
    <w:rsid w:val="00386518"/>
    <w:rsid w:val="0038748E"/>
    <w:rsid w:val="00391A61"/>
    <w:rsid w:val="0039316A"/>
    <w:rsid w:val="00394197"/>
    <w:rsid w:val="0039491D"/>
    <w:rsid w:val="00396388"/>
    <w:rsid w:val="00397B1C"/>
    <w:rsid w:val="00397E86"/>
    <w:rsid w:val="003A092F"/>
    <w:rsid w:val="003A1388"/>
    <w:rsid w:val="003A139A"/>
    <w:rsid w:val="003A1D20"/>
    <w:rsid w:val="003A258C"/>
    <w:rsid w:val="003A40E7"/>
    <w:rsid w:val="003A4472"/>
    <w:rsid w:val="003A5C2B"/>
    <w:rsid w:val="003A78B7"/>
    <w:rsid w:val="003B095A"/>
    <w:rsid w:val="003B0AE9"/>
    <w:rsid w:val="003B2F1D"/>
    <w:rsid w:val="003B30E9"/>
    <w:rsid w:val="003B4408"/>
    <w:rsid w:val="003B4EE5"/>
    <w:rsid w:val="003B5D7B"/>
    <w:rsid w:val="003B5F19"/>
    <w:rsid w:val="003B638F"/>
    <w:rsid w:val="003B67A0"/>
    <w:rsid w:val="003B681B"/>
    <w:rsid w:val="003B70F6"/>
    <w:rsid w:val="003B72E5"/>
    <w:rsid w:val="003C0C7E"/>
    <w:rsid w:val="003C0E0B"/>
    <w:rsid w:val="003C1220"/>
    <w:rsid w:val="003C2DA4"/>
    <w:rsid w:val="003C3607"/>
    <w:rsid w:val="003C3ADB"/>
    <w:rsid w:val="003C47B5"/>
    <w:rsid w:val="003C5626"/>
    <w:rsid w:val="003C58B5"/>
    <w:rsid w:val="003C6339"/>
    <w:rsid w:val="003C6B76"/>
    <w:rsid w:val="003C779C"/>
    <w:rsid w:val="003D1F56"/>
    <w:rsid w:val="003D1FCD"/>
    <w:rsid w:val="003D3512"/>
    <w:rsid w:val="003D3B92"/>
    <w:rsid w:val="003D4056"/>
    <w:rsid w:val="003D415D"/>
    <w:rsid w:val="003D46D1"/>
    <w:rsid w:val="003D5A77"/>
    <w:rsid w:val="003E0C29"/>
    <w:rsid w:val="003E4A4E"/>
    <w:rsid w:val="003E4AEB"/>
    <w:rsid w:val="003E58E5"/>
    <w:rsid w:val="003E5EE1"/>
    <w:rsid w:val="003E6A13"/>
    <w:rsid w:val="003E7C9B"/>
    <w:rsid w:val="003E7D25"/>
    <w:rsid w:val="003F0417"/>
    <w:rsid w:val="003F180D"/>
    <w:rsid w:val="003F404C"/>
    <w:rsid w:val="003F55A2"/>
    <w:rsid w:val="003F6764"/>
    <w:rsid w:val="00400080"/>
    <w:rsid w:val="0040196C"/>
    <w:rsid w:val="00402F4C"/>
    <w:rsid w:val="00403958"/>
    <w:rsid w:val="004075E0"/>
    <w:rsid w:val="00407C0B"/>
    <w:rsid w:val="004128F3"/>
    <w:rsid w:val="00412960"/>
    <w:rsid w:val="00412A5D"/>
    <w:rsid w:val="00412CA6"/>
    <w:rsid w:val="00413557"/>
    <w:rsid w:val="004137F3"/>
    <w:rsid w:val="00415470"/>
    <w:rsid w:val="00415CFA"/>
    <w:rsid w:val="00415E18"/>
    <w:rsid w:val="00416388"/>
    <w:rsid w:val="00416EA9"/>
    <w:rsid w:val="0041769D"/>
    <w:rsid w:val="00417D4F"/>
    <w:rsid w:val="00421EEA"/>
    <w:rsid w:val="00422027"/>
    <w:rsid w:val="004221B2"/>
    <w:rsid w:val="004223F4"/>
    <w:rsid w:val="0042390E"/>
    <w:rsid w:val="00425B45"/>
    <w:rsid w:val="00425C82"/>
    <w:rsid w:val="00425D4D"/>
    <w:rsid w:val="004300B5"/>
    <w:rsid w:val="00430F93"/>
    <w:rsid w:val="00433AB6"/>
    <w:rsid w:val="004342C9"/>
    <w:rsid w:val="00434B04"/>
    <w:rsid w:val="004374D0"/>
    <w:rsid w:val="004375FE"/>
    <w:rsid w:val="00440412"/>
    <w:rsid w:val="00443935"/>
    <w:rsid w:val="00443D5A"/>
    <w:rsid w:val="004442B3"/>
    <w:rsid w:val="0044437B"/>
    <w:rsid w:val="0044498E"/>
    <w:rsid w:val="0044541C"/>
    <w:rsid w:val="004460B8"/>
    <w:rsid w:val="00447613"/>
    <w:rsid w:val="00447654"/>
    <w:rsid w:val="00450A1C"/>
    <w:rsid w:val="004513F9"/>
    <w:rsid w:val="00451F87"/>
    <w:rsid w:val="00452DB9"/>
    <w:rsid w:val="00452F36"/>
    <w:rsid w:val="00453130"/>
    <w:rsid w:val="0045394E"/>
    <w:rsid w:val="004543BF"/>
    <w:rsid w:val="00454B5D"/>
    <w:rsid w:val="00455B44"/>
    <w:rsid w:val="00456FA3"/>
    <w:rsid w:val="0045706F"/>
    <w:rsid w:val="0045754E"/>
    <w:rsid w:val="004575C3"/>
    <w:rsid w:val="00460E98"/>
    <w:rsid w:val="00461AA0"/>
    <w:rsid w:val="0046225F"/>
    <w:rsid w:val="004640E1"/>
    <w:rsid w:val="00465462"/>
    <w:rsid w:val="004666B5"/>
    <w:rsid w:val="004669E3"/>
    <w:rsid w:val="00467112"/>
    <w:rsid w:val="00467B60"/>
    <w:rsid w:val="00467ECF"/>
    <w:rsid w:val="0047305B"/>
    <w:rsid w:val="004736BA"/>
    <w:rsid w:val="00475A0F"/>
    <w:rsid w:val="004760DD"/>
    <w:rsid w:val="004771A7"/>
    <w:rsid w:val="0047720E"/>
    <w:rsid w:val="00477DF1"/>
    <w:rsid w:val="00480562"/>
    <w:rsid w:val="004805E1"/>
    <w:rsid w:val="0048194E"/>
    <w:rsid w:val="00481D33"/>
    <w:rsid w:val="004830D3"/>
    <w:rsid w:val="00483137"/>
    <w:rsid w:val="004833C3"/>
    <w:rsid w:val="00483BCD"/>
    <w:rsid w:val="00484BA8"/>
    <w:rsid w:val="004851E7"/>
    <w:rsid w:val="004864AD"/>
    <w:rsid w:val="00486BD8"/>
    <w:rsid w:val="00486D4E"/>
    <w:rsid w:val="00487F50"/>
    <w:rsid w:val="004905D0"/>
    <w:rsid w:val="0049352F"/>
    <w:rsid w:val="00494705"/>
    <w:rsid w:val="00494A80"/>
    <w:rsid w:val="00496320"/>
    <w:rsid w:val="00496C53"/>
    <w:rsid w:val="004A07AF"/>
    <w:rsid w:val="004A465C"/>
    <w:rsid w:val="004A4B42"/>
    <w:rsid w:val="004A5A5E"/>
    <w:rsid w:val="004A5AA9"/>
    <w:rsid w:val="004A64A5"/>
    <w:rsid w:val="004A791C"/>
    <w:rsid w:val="004B10CD"/>
    <w:rsid w:val="004B2765"/>
    <w:rsid w:val="004B672E"/>
    <w:rsid w:val="004B67C9"/>
    <w:rsid w:val="004B6984"/>
    <w:rsid w:val="004B74ED"/>
    <w:rsid w:val="004B7B30"/>
    <w:rsid w:val="004C05F2"/>
    <w:rsid w:val="004C2800"/>
    <w:rsid w:val="004C3306"/>
    <w:rsid w:val="004C407E"/>
    <w:rsid w:val="004C40F4"/>
    <w:rsid w:val="004C506F"/>
    <w:rsid w:val="004C7A15"/>
    <w:rsid w:val="004D11B7"/>
    <w:rsid w:val="004D2778"/>
    <w:rsid w:val="004D4274"/>
    <w:rsid w:val="004D57A0"/>
    <w:rsid w:val="004D5F36"/>
    <w:rsid w:val="004E0791"/>
    <w:rsid w:val="004E0F8E"/>
    <w:rsid w:val="004E1013"/>
    <w:rsid w:val="004E2848"/>
    <w:rsid w:val="004E44CC"/>
    <w:rsid w:val="004E5CA5"/>
    <w:rsid w:val="004E7529"/>
    <w:rsid w:val="004F16A1"/>
    <w:rsid w:val="004F2DDA"/>
    <w:rsid w:val="004F352D"/>
    <w:rsid w:val="004F4CDB"/>
    <w:rsid w:val="004F568A"/>
    <w:rsid w:val="004F581C"/>
    <w:rsid w:val="004F68CE"/>
    <w:rsid w:val="004F718A"/>
    <w:rsid w:val="0050062C"/>
    <w:rsid w:val="005021E6"/>
    <w:rsid w:val="005034FC"/>
    <w:rsid w:val="00503F67"/>
    <w:rsid w:val="005044B9"/>
    <w:rsid w:val="005055E2"/>
    <w:rsid w:val="00506583"/>
    <w:rsid w:val="00507080"/>
    <w:rsid w:val="00507D74"/>
    <w:rsid w:val="00510644"/>
    <w:rsid w:val="005106D5"/>
    <w:rsid w:val="005112F3"/>
    <w:rsid w:val="0051190D"/>
    <w:rsid w:val="00512F95"/>
    <w:rsid w:val="00514849"/>
    <w:rsid w:val="0051562D"/>
    <w:rsid w:val="00517BF1"/>
    <w:rsid w:val="00517FDD"/>
    <w:rsid w:val="00520645"/>
    <w:rsid w:val="00520920"/>
    <w:rsid w:val="00524D6D"/>
    <w:rsid w:val="00524D76"/>
    <w:rsid w:val="00524D8B"/>
    <w:rsid w:val="005252C0"/>
    <w:rsid w:val="00525E8C"/>
    <w:rsid w:val="00527F92"/>
    <w:rsid w:val="00530CE7"/>
    <w:rsid w:val="00530D4A"/>
    <w:rsid w:val="00530DC4"/>
    <w:rsid w:val="00530E45"/>
    <w:rsid w:val="00531312"/>
    <w:rsid w:val="005316A8"/>
    <w:rsid w:val="00531FA9"/>
    <w:rsid w:val="00533B7E"/>
    <w:rsid w:val="00535C65"/>
    <w:rsid w:val="00535ECA"/>
    <w:rsid w:val="0053682D"/>
    <w:rsid w:val="00540FEC"/>
    <w:rsid w:val="005414D6"/>
    <w:rsid w:val="00541F83"/>
    <w:rsid w:val="005430C7"/>
    <w:rsid w:val="00543312"/>
    <w:rsid w:val="00543809"/>
    <w:rsid w:val="005439BF"/>
    <w:rsid w:val="00543CB6"/>
    <w:rsid w:val="00543D6B"/>
    <w:rsid w:val="005446B0"/>
    <w:rsid w:val="00545349"/>
    <w:rsid w:val="00546183"/>
    <w:rsid w:val="005475A9"/>
    <w:rsid w:val="005478E2"/>
    <w:rsid w:val="00547E4F"/>
    <w:rsid w:val="00550A95"/>
    <w:rsid w:val="00551DFC"/>
    <w:rsid w:val="0055211A"/>
    <w:rsid w:val="0055216F"/>
    <w:rsid w:val="00557834"/>
    <w:rsid w:val="005605F8"/>
    <w:rsid w:val="0056183F"/>
    <w:rsid w:val="005622D1"/>
    <w:rsid w:val="00563224"/>
    <w:rsid w:val="005633AF"/>
    <w:rsid w:val="0056380E"/>
    <w:rsid w:val="005645A9"/>
    <w:rsid w:val="005650C2"/>
    <w:rsid w:val="00565A8C"/>
    <w:rsid w:val="00567720"/>
    <w:rsid w:val="00571064"/>
    <w:rsid w:val="005723C2"/>
    <w:rsid w:val="00572F0A"/>
    <w:rsid w:val="00573012"/>
    <w:rsid w:val="00573562"/>
    <w:rsid w:val="00574068"/>
    <w:rsid w:val="00575306"/>
    <w:rsid w:val="00575C71"/>
    <w:rsid w:val="005773BE"/>
    <w:rsid w:val="00577C90"/>
    <w:rsid w:val="00580954"/>
    <w:rsid w:val="00580F4C"/>
    <w:rsid w:val="005824F8"/>
    <w:rsid w:val="00583A5C"/>
    <w:rsid w:val="005850D6"/>
    <w:rsid w:val="00586357"/>
    <w:rsid w:val="0058643C"/>
    <w:rsid w:val="00586EDA"/>
    <w:rsid w:val="00586F03"/>
    <w:rsid w:val="00587114"/>
    <w:rsid w:val="005927CD"/>
    <w:rsid w:val="00593176"/>
    <w:rsid w:val="0059343A"/>
    <w:rsid w:val="00593CA2"/>
    <w:rsid w:val="00595B4A"/>
    <w:rsid w:val="005964EC"/>
    <w:rsid w:val="005A0661"/>
    <w:rsid w:val="005A1FDF"/>
    <w:rsid w:val="005A2B40"/>
    <w:rsid w:val="005A2DB1"/>
    <w:rsid w:val="005A3025"/>
    <w:rsid w:val="005A4192"/>
    <w:rsid w:val="005A4F1F"/>
    <w:rsid w:val="005A5A1C"/>
    <w:rsid w:val="005A6732"/>
    <w:rsid w:val="005B1C02"/>
    <w:rsid w:val="005B1F53"/>
    <w:rsid w:val="005B33DC"/>
    <w:rsid w:val="005B4FF7"/>
    <w:rsid w:val="005B5511"/>
    <w:rsid w:val="005B6269"/>
    <w:rsid w:val="005B6A2F"/>
    <w:rsid w:val="005B6E58"/>
    <w:rsid w:val="005C31C8"/>
    <w:rsid w:val="005C4416"/>
    <w:rsid w:val="005C4D85"/>
    <w:rsid w:val="005C6CE7"/>
    <w:rsid w:val="005D184D"/>
    <w:rsid w:val="005D1BF1"/>
    <w:rsid w:val="005D2C74"/>
    <w:rsid w:val="005D2CB5"/>
    <w:rsid w:val="005D32D1"/>
    <w:rsid w:val="005D386F"/>
    <w:rsid w:val="005D5929"/>
    <w:rsid w:val="005D6D46"/>
    <w:rsid w:val="005D6DB1"/>
    <w:rsid w:val="005D72C1"/>
    <w:rsid w:val="005D7663"/>
    <w:rsid w:val="005E31E2"/>
    <w:rsid w:val="005E3DC5"/>
    <w:rsid w:val="005E3E03"/>
    <w:rsid w:val="005E4813"/>
    <w:rsid w:val="005E4FE7"/>
    <w:rsid w:val="005E626D"/>
    <w:rsid w:val="005E6E82"/>
    <w:rsid w:val="005F0E56"/>
    <w:rsid w:val="005F1007"/>
    <w:rsid w:val="005F6167"/>
    <w:rsid w:val="006005D4"/>
    <w:rsid w:val="00600B40"/>
    <w:rsid w:val="006011FA"/>
    <w:rsid w:val="0060178F"/>
    <w:rsid w:val="00602576"/>
    <w:rsid w:val="00602663"/>
    <w:rsid w:val="006031DC"/>
    <w:rsid w:val="00604A07"/>
    <w:rsid w:val="0060535C"/>
    <w:rsid w:val="00607400"/>
    <w:rsid w:val="006120D5"/>
    <w:rsid w:val="00613D71"/>
    <w:rsid w:val="00614767"/>
    <w:rsid w:val="00615523"/>
    <w:rsid w:val="006159BC"/>
    <w:rsid w:val="006167BD"/>
    <w:rsid w:val="006173BB"/>
    <w:rsid w:val="00617D6A"/>
    <w:rsid w:val="006206B9"/>
    <w:rsid w:val="00620BD0"/>
    <w:rsid w:val="00622459"/>
    <w:rsid w:val="00623CBC"/>
    <w:rsid w:val="006243E7"/>
    <w:rsid w:val="00624E84"/>
    <w:rsid w:val="00625C51"/>
    <w:rsid w:val="0063027F"/>
    <w:rsid w:val="00630D29"/>
    <w:rsid w:val="006313EC"/>
    <w:rsid w:val="00631AFB"/>
    <w:rsid w:val="0063261A"/>
    <w:rsid w:val="0063473B"/>
    <w:rsid w:val="0063507E"/>
    <w:rsid w:val="006359D2"/>
    <w:rsid w:val="00636060"/>
    <w:rsid w:val="006369CC"/>
    <w:rsid w:val="006374EF"/>
    <w:rsid w:val="00641153"/>
    <w:rsid w:val="00643E16"/>
    <w:rsid w:val="00645028"/>
    <w:rsid w:val="00646631"/>
    <w:rsid w:val="00647F26"/>
    <w:rsid w:val="00650587"/>
    <w:rsid w:val="00652372"/>
    <w:rsid w:val="00653480"/>
    <w:rsid w:val="006536D6"/>
    <w:rsid w:val="00654B00"/>
    <w:rsid w:val="0065532F"/>
    <w:rsid w:val="006560FF"/>
    <w:rsid w:val="00656196"/>
    <w:rsid w:val="00656CC4"/>
    <w:rsid w:val="00656D5E"/>
    <w:rsid w:val="00657569"/>
    <w:rsid w:val="00657C0D"/>
    <w:rsid w:val="00657C6F"/>
    <w:rsid w:val="00662875"/>
    <w:rsid w:val="00663399"/>
    <w:rsid w:val="0066466F"/>
    <w:rsid w:val="00664915"/>
    <w:rsid w:val="006656A2"/>
    <w:rsid w:val="00665738"/>
    <w:rsid w:val="00666247"/>
    <w:rsid w:val="00667933"/>
    <w:rsid w:val="006679EB"/>
    <w:rsid w:val="006726B9"/>
    <w:rsid w:val="00674F5E"/>
    <w:rsid w:val="006763B3"/>
    <w:rsid w:val="00681E1D"/>
    <w:rsid w:val="00682F0F"/>
    <w:rsid w:val="00683222"/>
    <w:rsid w:val="006841FA"/>
    <w:rsid w:val="006849DD"/>
    <w:rsid w:val="00685608"/>
    <w:rsid w:val="00685CFC"/>
    <w:rsid w:val="00686774"/>
    <w:rsid w:val="00686A7A"/>
    <w:rsid w:val="00686F46"/>
    <w:rsid w:val="00687755"/>
    <w:rsid w:val="00687B51"/>
    <w:rsid w:val="00687CEA"/>
    <w:rsid w:val="006900BC"/>
    <w:rsid w:val="006907CD"/>
    <w:rsid w:val="00691002"/>
    <w:rsid w:val="0069218D"/>
    <w:rsid w:val="0069219B"/>
    <w:rsid w:val="006924FD"/>
    <w:rsid w:val="00692DD7"/>
    <w:rsid w:val="00692DDF"/>
    <w:rsid w:val="0069376A"/>
    <w:rsid w:val="00694936"/>
    <w:rsid w:val="00694F25"/>
    <w:rsid w:val="00695074"/>
    <w:rsid w:val="00695709"/>
    <w:rsid w:val="00696321"/>
    <w:rsid w:val="00697007"/>
    <w:rsid w:val="00697FCE"/>
    <w:rsid w:val="006A077D"/>
    <w:rsid w:val="006A1725"/>
    <w:rsid w:val="006A1DAF"/>
    <w:rsid w:val="006A211F"/>
    <w:rsid w:val="006A2156"/>
    <w:rsid w:val="006A4BFB"/>
    <w:rsid w:val="006A5AD0"/>
    <w:rsid w:val="006A5E4F"/>
    <w:rsid w:val="006A5EAE"/>
    <w:rsid w:val="006A72B3"/>
    <w:rsid w:val="006A7652"/>
    <w:rsid w:val="006A76FE"/>
    <w:rsid w:val="006B1F2E"/>
    <w:rsid w:val="006B34CD"/>
    <w:rsid w:val="006B46DC"/>
    <w:rsid w:val="006B53A6"/>
    <w:rsid w:val="006B666A"/>
    <w:rsid w:val="006B69D8"/>
    <w:rsid w:val="006B78F3"/>
    <w:rsid w:val="006B7F89"/>
    <w:rsid w:val="006C1199"/>
    <w:rsid w:val="006C195A"/>
    <w:rsid w:val="006C1CDA"/>
    <w:rsid w:val="006C1DCC"/>
    <w:rsid w:val="006C3846"/>
    <w:rsid w:val="006C3BF0"/>
    <w:rsid w:val="006C4725"/>
    <w:rsid w:val="006C568D"/>
    <w:rsid w:val="006C7DEE"/>
    <w:rsid w:val="006D221B"/>
    <w:rsid w:val="006D3D69"/>
    <w:rsid w:val="006D3E64"/>
    <w:rsid w:val="006D4845"/>
    <w:rsid w:val="006D5657"/>
    <w:rsid w:val="006D6C4A"/>
    <w:rsid w:val="006D7839"/>
    <w:rsid w:val="006E02B1"/>
    <w:rsid w:val="006E14ED"/>
    <w:rsid w:val="006E157D"/>
    <w:rsid w:val="006E19C5"/>
    <w:rsid w:val="006E3E44"/>
    <w:rsid w:val="006E44E3"/>
    <w:rsid w:val="006E4EF6"/>
    <w:rsid w:val="006E6DDB"/>
    <w:rsid w:val="006F0078"/>
    <w:rsid w:val="006F0296"/>
    <w:rsid w:val="006F0AC4"/>
    <w:rsid w:val="006F2CEE"/>
    <w:rsid w:val="006F3DF9"/>
    <w:rsid w:val="006F5195"/>
    <w:rsid w:val="006F5D51"/>
    <w:rsid w:val="006F61C3"/>
    <w:rsid w:val="006F7546"/>
    <w:rsid w:val="00700495"/>
    <w:rsid w:val="00700AEC"/>
    <w:rsid w:val="00701194"/>
    <w:rsid w:val="007016B1"/>
    <w:rsid w:val="0070375B"/>
    <w:rsid w:val="00705564"/>
    <w:rsid w:val="007064D1"/>
    <w:rsid w:val="007112AF"/>
    <w:rsid w:val="00712902"/>
    <w:rsid w:val="00713691"/>
    <w:rsid w:val="0071564F"/>
    <w:rsid w:val="00720556"/>
    <w:rsid w:val="00721BD6"/>
    <w:rsid w:val="00721ECC"/>
    <w:rsid w:val="00721FF0"/>
    <w:rsid w:val="00722DD9"/>
    <w:rsid w:val="0072548B"/>
    <w:rsid w:val="00725682"/>
    <w:rsid w:val="007269A4"/>
    <w:rsid w:val="00730182"/>
    <w:rsid w:val="00732018"/>
    <w:rsid w:val="007333DB"/>
    <w:rsid w:val="00733E60"/>
    <w:rsid w:val="00734BF0"/>
    <w:rsid w:val="00734E14"/>
    <w:rsid w:val="007358D4"/>
    <w:rsid w:val="00736CC9"/>
    <w:rsid w:val="00737A72"/>
    <w:rsid w:val="00737D3F"/>
    <w:rsid w:val="007400E0"/>
    <w:rsid w:val="00740D11"/>
    <w:rsid w:val="007420CC"/>
    <w:rsid w:val="007420E8"/>
    <w:rsid w:val="00742808"/>
    <w:rsid w:val="00743C96"/>
    <w:rsid w:val="00745FC7"/>
    <w:rsid w:val="00746653"/>
    <w:rsid w:val="00746699"/>
    <w:rsid w:val="00746BCB"/>
    <w:rsid w:val="00747E14"/>
    <w:rsid w:val="007506CA"/>
    <w:rsid w:val="0075339C"/>
    <w:rsid w:val="00753442"/>
    <w:rsid w:val="00754000"/>
    <w:rsid w:val="0075584E"/>
    <w:rsid w:val="007569C0"/>
    <w:rsid w:val="00756EFF"/>
    <w:rsid w:val="00757282"/>
    <w:rsid w:val="0075758D"/>
    <w:rsid w:val="00757D7F"/>
    <w:rsid w:val="00757E2B"/>
    <w:rsid w:val="00760447"/>
    <w:rsid w:val="00760C76"/>
    <w:rsid w:val="00760FA3"/>
    <w:rsid w:val="00761DD0"/>
    <w:rsid w:val="007623A6"/>
    <w:rsid w:val="00763CB4"/>
    <w:rsid w:val="00765019"/>
    <w:rsid w:val="00770F20"/>
    <w:rsid w:val="00771BDB"/>
    <w:rsid w:val="00774ED6"/>
    <w:rsid w:val="00776C9E"/>
    <w:rsid w:val="00780B22"/>
    <w:rsid w:val="0078114B"/>
    <w:rsid w:val="00781799"/>
    <w:rsid w:val="007830DD"/>
    <w:rsid w:val="00784AE6"/>
    <w:rsid w:val="00784CA4"/>
    <w:rsid w:val="00784D51"/>
    <w:rsid w:val="0078521D"/>
    <w:rsid w:val="00785C40"/>
    <w:rsid w:val="00785CC6"/>
    <w:rsid w:val="00786F43"/>
    <w:rsid w:val="007870AB"/>
    <w:rsid w:val="00787769"/>
    <w:rsid w:val="0079060C"/>
    <w:rsid w:val="00792F17"/>
    <w:rsid w:val="00794E0D"/>
    <w:rsid w:val="00795740"/>
    <w:rsid w:val="007957E4"/>
    <w:rsid w:val="00797162"/>
    <w:rsid w:val="007A0742"/>
    <w:rsid w:val="007A2DB4"/>
    <w:rsid w:val="007A31E6"/>
    <w:rsid w:val="007A3201"/>
    <w:rsid w:val="007A4951"/>
    <w:rsid w:val="007A5EC1"/>
    <w:rsid w:val="007A5F2E"/>
    <w:rsid w:val="007A6334"/>
    <w:rsid w:val="007A69E3"/>
    <w:rsid w:val="007A78B2"/>
    <w:rsid w:val="007A7D92"/>
    <w:rsid w:val="007B1943"/>
    <w:rsid w:val="007B1D8C"/>
    <w:rsid w:val="007B2424"/>
    <w:rsid w:val="007B39B5"/>
    <w:rsid w:val="007B76CF"/>
    <w:rsid w:val="007C0637"/>
    <w:rsid w:val="007C06DB"/>
    <w:rsid w:val="007C07F2"/>
    <w:rsid w:val="007C3666"/>
    <w:rsid w:val="007C442F"/>
    <w:rsid w:val="007C4873"/>
    <w:rsid w:val="007C52C9"/>
    <w:rsid w:val="007C6B13"/>
    <w:rsid w:val="007C7289"/>
    <w:rsid w:val="007C7F1C"/>
    <w:rsid w:val="007D26D0"/>
    <w:rsid w:val="007D2F6E"/>
    <w:rsid w:val="007D3256"/>
    <w:rsid w:val="007D46E8"/>
    <w:rsid w:val="007D502C"/>
    <w:rsid w:val="007D542C"/>
    <w:rsid w:val="007D55F3"/>
    <w:rsid w:val="007D6DE9"/>
    <w:rsid w:val="007D71B9"/>
    <w:rsid w:val="007E01BD"/>
    <w:rsid w:val="007E03DA"/>
    <w:rsid w:val="007E12B5"/>
    <w:rsid w:val="007E21C1"/>
    <w:rsid w:val="007E35AA"/>
    <w:rsid w:val="007E5DC0"/>
    <w:rsid w:val="007E6E61"/>
    <w:rsid w:val="007E7CC7"/>
    <w:rsid w:val="007F12B7"/>
    <w:rsid w:val="007F228D"/>
    <w:rsid w:val="007F25A9"/>
    <w:rsid w:val="007F27D7"/>
    <w:rsid w:val="007F33A7"/>
    <w:rsid w:val="007F7311"/>
    <w:rsid w:val="008002E6"/>
    <w:rsid w:val="00800944"/>
    <w:rsid w:val="00801036"/>
    <w:rsid w:val="00801575"/>
    <w:rsid w:val="00803C35"/>
    <w:rsid w:val="00804F81"/>
    <w:rsid w:val="0080764D"/>
    <w:rsid w:val="008106CA"/>
    <w:rsid w:val="008107B2"/>
    <w:rsid w:val="00810A9C"/>
    <w:rsid w:val="00810E4C"/>
    <w:rsid w:val="00811D7A"/>
    <w:rsid w:val="008132FD"/>
    <w:rsid w:val="00813D21"/>
    <w:rsid w:val="00813D5B"/>
    <w:rsid w:val="00815D71"/>
    <w:rsid w:val="00816D5E"/>
    <w:rsid w:val="00820836"/>
    <w:rsid w:val="0082164E"/>
    <w:rsid w:val="00821E9A"/>
    <w:rsid w:val="008231BA"/>
    <w:rsid w:val="008236C3"/>
    <w:rsid w:val="00823CAB"/>
    <w:rsid w:val="00824E2B"/>
    <w:rsid w:val="00826779"/>
    <w:rsid w:val="00826980"/>
    <w:rsid w:val="008302D6"/>
    <w:rsid w:val="00830674"/>
    <w:rsid w:val="008306DE"/>
    <w:rsid w:val="00830CE7"/>
    <w:rsid w:val="008313B2"/>
    <w:rsid w:val="008317AE"/>
    <w:rsid w:val="00831D28"/>
    <w:rsid w:val="00831E17"/>
    <w:rsid w:val="008321F6"/>
    <w:rsid w:val="00832B98"/>
    <w:rsid w:val="00833627"/>
    <w:rsid w:val="00834FEF"/>
    <w:rsid w:val="0083592F"/>
    <w:rsid w:val="008361BE"/>
    <w:rsid w:val="00836825"/>
    <w:rsid w:val="0083769F"/>
    <w:rsid w:val="00837F0A"/>
    <w:rsid w:val="00840199"/>
    <w:rsid w:val="008401D7"/>
    <w:rsid w:val="008405A7"/>
    <w:rsid w:val="008406C7"/>
    <w:rsid w:val="0084130A"/>
    <w:rsid w:val="0084171E"/>
    <w:rsid w:val="00841C1C"/>
    <w:rsid w:val="00842423"/>
    <w:rsid w:val="008477B5"/>
    <w:rsid w:val="0085224F"/>
    <w:rsid w:val="00852A75"/>
    <w:rsid w:val="00853B1B"/>
    <w:rsid w:val="008577D4"/>
    <w:rsid w:val="00860BCB"/>
    <w:rsid w:val="00860DDC"/>
    <w:rsid w:val="00862065"/>
    <w:rsid w:val="00863DB6"/>
    <w:rsid w:val="00863FD0"/>
    <w:rsid w:val="008651BA"/>
    <w:rsid w:val="00865A6D"/>
    <w:rsid w:val="00865FC5"/>
    <w:rsid w:val="00867539"/>
    <w:rsid w:val="00867DBB"/>
    <w:rsid w:val="00870BB3"/>
    <w:rsid w:val="00870FE9"/>
    <w:rsid w:val="00871B0F"/>
    <w:rsid w:val="008720D8"/>
    <w:rsid w:val="0087367F"/>
    <w:rsid w:val="00873A06"/>
    <w:rsid w:val="00874D70"/>
    <w:rsid w:val="00875555"/>
    <w:rsid w:val="00875F47"/>
    <w:rsid w:val="00882331"/>
    <w:rsid w:val="00883E6C"/>
    <w:rsid w:val="00883FAB"/>
    <w:rsid w:val="0088440C"/>
    <w:rsid w:val="00885810"/>
    <w:rsid w:val="008862B5"/>
    <w:rsid w:val="00886462"/>
    <w:rsid w:val="0088721E"/>
    <w:rsid w:val="0088740B"/>
    <w:rsid w:val="00887544"/>
    <w:rsid w:val="00890490"/>
    <w:rsid w:val="008908F5"/>
    <w:rsid w:val="00890A4C"/>
    <w:rsid w:val="00890DDA"/>
    <w:rsid w:val="00891914"/>
    <w:rsid w:val="00892224"/>
    <w:rsid w:val="008937DA"/>
    <w:rsid w:val="008945FD"/>
    <w:rsid w:val="008951AC"/>
    <w:rsid w:val="008961B7"/>
    <w:rsid w:val="0089637A"/>
    <w:rsid w:val="0089677E"/>
    <w:rsid w:val="00896C73"/>
    <w:rsid w:val="008971A9"/>
    <w:rsid w:val="008974E7"/>
    <w:rsid w:val="008978CC"/>
    <w:rsid w:val="00897A5B"/>
    <w:rsid w:val="008A027A"/>
    <w:rsid w:val="008A1032"/>
    <w:rsid w:val="008A1053"/>
    <w:rsid w:val="008A2418"/>
    <w:rsid w:val="008A377A"/>
    <w:rsid w:val="008A51A7"/>
    <w:rsid w:val="008A6931"/>
    <w:rsid w:val="008B01CC"/>
    <w:rsid w:val="008B1D55"/>
    <w:rsid w:val="008B5987"/>
    <w:rsid w:val="008B67D7"/>
    <w:rsid w:val="008B6FE5"/>
    <w:rsid w:val="008B76D2"/>
    <w:rsid w:val="008B776F"/>
    <w:rsid w:val="008C04EC"/>
    <w:rsid w:val="008C097F"/>
    <w:rsid w:val="008C2312"/>
    <w:rsid w:val="008C2A3C"/>
    <w:rsid w:val="008C2E65"/>
    <w:rsid w:val="008C34BC"/>
    <w:rsid w:val="008C37C8"/>
    <w:rsid w:val="008C392B"/>
    <w:rsid w:val="008C4474"/>
    <w:rsid w:val="008C4EB9"/>
    <w:rsid w:val="008D0652"/>
    <w:rsid w:val="008D0BF5"/>
    <w:rsid w:val="008D114B"/>
    <w:rsid w:val="008D5E04"/>
    <w:rsid w:val="008D7DDB"/>
    <w:rsid w:val="008E08F8"/>
    <w:rsid w:val="008E1F19"/>
    <w:rsid w:val="008E48AC"/>
    <w:rsid w:val="008F11E2"/>
    <w:rsid w:val="008F2097"/>
    <w:rsid w:val="008F3660"/>
    <w:rsid w:val="008F3F09"/>
    <w:rsid w:val="008F60F9"/>
    <w:rsid w:val="008F7B87"/>
    <w:rsid w:val="00901CCF"/>
    <w:rsid w:val="00902C55"/>
    <w:rsid w:val="00905802"/>
    <w:rsid w:val="00906098"/>
    <w:rsid w:val="0090707A"/>
    <w:rsid w:val="00907206"/>
    <w:rsid w:val="0090744F"/>
    <w:rsid w:val="00907611"/>
    <w:rsid w:val="00907D5A"/>
    <w:rsid w:val="00910EC6"/>
    <w:rsid w:val="00911C69"/>
    <w:rsid w:val="009129DD"/>
    <w:rsid w:val="00912DEC"/>
    <w:rsid w:val="0091364C"/>
    <w:rsid w:val="009149A9"/>
    <w:rsid w:val="00914C10"/>
    <w:rsid w:val="00914CB6"/>
    <w:rsid w:val="00915D80"/>
    <w:rsid w:val="00916308"/>
    <w:rsid w:val="00917556"/>
    <w:rsid w:val="009175E5"/>
    <w:rsid w:val="009205BD"/>
    <w:rsid w:val="009209E2"/>
    <w:rsid w:val="00920AD0"/>
    <w:rsid w:val="00920B88"/>
    <w:rsid w:val="00923923"/>
    <w:rsid w:val="009258F6"/>
    <w:rsid w:val="0092595A"/>
    <w:rsid w:val="00926BBA"/>
    <w:rsid w:val="00927F3E"/>
    <w:rsid w:val="00930562"/>
    <w:rsid w:val="0093084B"/>
    <w:rsid w:val="00930A46"/>
    <w:rsid w:val="00930D8F"/>
    <w:rsid w:val="0093157A"/>
    <w:rsid w:val="009322A7"/>
    <w:rsid w:val="009322EF"/>
    <w:rsid w:val="00933FEE"/>
    <w:rsid w:val="00934A69"/>
    <w:rsid w:val="00936722"/>
    <w:rsid w:val="009376A3"/>
    <w:rsid w:val="00937836"/>
    <w:rsid w:val="00937CD1"/>
    <w:rsid w:val="009405F0"/>
    <w:rsid w:val="00940DE1"/>
    <w:rsid w:val="009410CF"/>
    <w:rsid w:val="0094210A"/>
    <w:rsid w:val="00942356"/>
    <w:rsid w:val="00945087"/>
    <w:rsid w:val="009451C2"/>
    <w:rsid w:val="0094536D"/>
    <w:rsid w:val="00946F8D"/>
    <w:rsid w:val="00947449"/>
    <w:rsid w:val="0095018E"/>
    <w:rsid w:val="00950C28"/>
    <w:rsid w:val="00951409"/>
    <w:rsid w:val="0095143A"/>
    <w:rsid w:val="0095144D"/>
    <w:rsid w:val="00952605"/>
    <w:rsid w:val="009528ED"/>
    <w:rsid w:val="00952AE6"/>
    <w:rsid w:val="009548FE"/>
    <w:rsid w:val="00954B36"/>
    <w:rsid w:val="009558BD"/>
    <w:rsid w:val="009601E0"/>
    <w:rsid w:val="00960D5E"/>
    <w:rsid w:val="00964509"/>
    <w:rsid w:val="00965A62"/>
    <w:rsid w:val="00965A8D"/>
    <w:rsid w:val="00966C54"/>
    <w:rsid w:val="0096730B"/>
    <w:rsid w:val="0096739F"/>
    <w:rsid w:val="009678FD"/>
    <w:rsid w:val="0097267E"/>
    <w:rsid w:val="00972CB3"/>
    <w:rsid w:val="00975828"/>
    <w:rsid w:val="009759C0"/>
    <w:rsid w:val="00975DA4"/>
    <w:rsid w:val="0097649D"/>
    <w:rsid w:val="00976EC3"/>
    <w:rsid w:val="00977588"/>
    <w:rsid w:val="00977987"/>
    <w:rsid w:val="0098287F"/>
    <w:rsid w:val="00982A30"/>
    <w:rsid w:val="009836BE"/>
    <w:rsid w:val="00984601"/>
    <w:rsid w:val="00984F86"/>
    <w:rsid w:val="009853EE"/>
    <w:rsid w:val="00985797"/>
    <w:rsid w:val="00986463"/>
    <w:rsid w:val="009867FF"/>
    <w:rsid w:val="00990627"/>
    <w:rsid w:val="00990A28"/>
    <w:rsid w:val="00990D29"/>
    <w:rsid w:val="009916C7"/>
    <w:rsid w:val="00991817"/>
    <w:rsid w:val="00991914"/>
    <w:rsid w:val="00992276"/>
    <w:rsid w:val="009922CD"/>
    <w:rsid w:val="009944E0"/>
    <w:rsid w:val="009965A7"/>
    <w:rsid w:val="009A0A5F"/>
    <w:rsid w:val="009A14E1"/>
    <w:rsid w:val="009A1567"/>
    <w:rsid w:val="009A32F5"/>
    <w:rsid w:val="009A4397"/>
    <w:rsid w:val="009A4B80"/>
    <w:rsid w:val="009A5462"/>
    <w:rsid w:val="009A58EC"/>
    <w:rsid w:val="009A5BBB"/>
    <w:rsid w:val="009A6C21"/>
    <w:rsid w:val="009A70F0"/>
    <w:rsid w:val="009A7DF7"/>
    <w:rsid w:val="009B0310"/>
    <w:rsid w:val="009B09C6"/>
    <w:rsid w:val="009B13D3"/>
    <w:rsid w:val="009B1ACA"/>
    <w:rsid w:val="009B2112"/>
    <w:rsid w:val="009B3566"/>
    <w:rsid w:val="009B4A2A"/>
    <w:rsid w:val="009B5780"/>
    <w:rsid w:val="009C08A0"/>
    <w:rsid w:val="009C0A02"/>
    <w:rsid w:val="009C11F4"/>
    <w:rsid w:val="009C143D"/>
    <w:rsid w:val="009C2922"/>
    <w:rsid w:val="009C2FC2"/>
    <w:rsid w:val="009C3782"/>
    <w:rsid w:val="009C3BD8"/>
    <w:rsid w:val="009C4B02"/>
    <w:rsid w:val="009D0B61"/>
    <w:rsid w:val="009D1313"/>
    <w:rsid w:val="009D182C"/>
    <w:rsid w:val="009D21C8"/>
    <w:rsid w:val="009D2960"/>
    <w:rsid w:val="009D2B1F"/>
    <w:rsid w:val="009D4ED5"/>
    <w:rsid w:val="009D5869"/>
    <w:rsid w:val="009D6BC0"/>
    <w:rsid w:val="009D6D9F"/>
    <w:rsid w:val="009D7CE9"/>
    <w:rsid w:val="009E031E"/>
    <w:rsid w:val="009E1DFA"/>
    <w:rsid w:val="009E40DD"/>
    <w:rsid w:val="009E56B5"/>
    <w:rsid w:val="009E585B"/>
    <w:rsid w:val="009E6BFC"/>
    <w:rsid w:val="009E74C5"/>
    <w:rsid w:val="009E776F"/>
    <w:rsid w:val="009F0482"/>
    <w:rsid w:val="009F0C2E"/>
    <w:rsid w:val="009F0DB1"/>
    <w:rsid w:val="009F2104"/>
    <w:rsid w:val="009F2584"/>
    <w:rsid w:val="009F2800"/>
    <w:rsid w:val="009F29AD"/>
    <w:rsid w:val="009F31A1"/>
    <w:rsid w:val="009F32DB"/>
    <w:rsid w:val="009F378B"/>
    <w:rsid w:val="009F439D"/>
    <w:rsid w:val="009F6808"/>
    <w:rsid w:val="009F703D"/>
    <w:rsid w:val="00A00717"/>
    <w:rsid w:val="00A00951"/>
    <w:rsid w:val="00A012FF"/>
    <w:rsid w:val="00A016C0"/>
    <w:rsid w:val="00A034E8"/>
    <w:rsid w:val="00A03655"/>
    <w:rsid w:val="00A03BF8"/>
    <w:rsid w:val="00A056EE"/>
    <w:rsid w:val="00A066EA"/>
    <w:rsid w:val="00A06CEB"/>
    <w:rsid w:val="00A1300D"/>
    <w:rsid w:val="00A145FC"/>
    <w:rsid w:val="00A17418"/>
    <w:rsid w:val="00A209E3"/>
    <w:rsid w:val="00A21B6A"/>
    <w:rsid w:val="00A22797"/>
    <w:rsid w:val="00A2594E"/>
    <w:rsid w:val="00A2673F"/>
    <w:rsid w:val="00A3062E"/>
    <w:rsid w:val="00A30F8F"/>
    <w:rsid w:val="00A32C0E"/>
    <w:rsid w:val="00A32EFD"/>
    <w:rsid w:val="00A330D9"/>
    <w:rsid w:val="00A3358B"/>
    <w:rsid w:val="00A35F40"/>
    <w:rsid w:val="00A36004"/>
    <w:rsid w:val="00A40524"/>
    <w:rsid w:val="00A409A4"/>
    <w:rsid w:val="00A4131F"/>
    <w:rsid w:val="00A45004"/>
    <w:rsid w:val="00A46853"/>
    <w:rsid w:val="00A46EF7"/>
    <w:rsid w:val="00A47342"/>
    <w:rsid w:val="00A5278B"/>
    <w:rsid w:val="00A529C0"/>
    <w:rsid w:val="00A52E90"/>
    <w:rsid w:val="00A53896"/>
    <w:rsid w:val="00A53900"/>
    <w:rsid w:val="00A5500C"/>
    <w:rsid w:val="00A55D15"/>
    <w:rsid w:val="00A56C27"/>
    <w:rsid w:val="00A56DA2"/>
    <w:rsid w:val="00A60D25"/>
    <w:rsid w:val="00A64632"/>
    <w:rsid w:val="00A6575E"/>
    <w:rsid w:val="00A65E12"/>
    <w:rsid w:val="00A66021"/>
    <w:rsid w:val="00A66A79"/>
    <w:rsid w:val="00A66FC6"/>
    <w:rsid w:val="00A67467"/>
    <w:rsid w:val="00A7088F"/>
    <w:rsid w:val="00A7196F"/>
    <w:rsid w:val="00A71D48"/>
    <w:rsid w:val="00A72CDF"/>
    <w:rsid w:val="00A730E3"/>
    <w:rsid w:val="00A73361"/>
    <w:rsid w:val="00A74B2E"/>
    <w:rsid w:val="00A758F4"/>
    <w:rsid w:val="00A76A82"/>
    <w:rsid w:val="00A77BB3"/>
    <w:rsid w:val="00A81F6C"/>
    <w:rsid w:val="00A83A95"/>
    <w:rsid w:val="00A91660"/>
    <w:rsid w:val="00A9411B"/>
    <w:rsid w:val="00A943CA"/>
    <w:rsid w:val="00A94A12"/>
    <w:rsid w:val="00A95ABA"/>
    <w:rsid w:val="00A9668B"/>
    <w:rsid w:val="00AA0391"/>
    <w:rsid w:val="00AA0E28"/>
    <w:rsid w:val="00AA118E"/>
    <w:rsid w:val="00AA1F42"/>
    <w:rsid w:val="00AA1FDC"/>
    <w:rsid w:val="00AA347C"/>
    <w:rsid w:val="00AA51FF"/>
    <w:rsid w:val="00AA63E7"/>
    <w:rsid w:val="00AA66A4"/>
    <w:rsid w:val="00AA6CAA"/>
    <w:rsid w:val="00AA7061"/>
    <w:rsid w:val="00AB0A4C"/>
    <w:rsid w:val="00AB1709"/>
    <w:rsid w:val="00AB1AA8"/>
    <w:rsid w:val="00AB3041"/>
    <w:rsid w:val="00AB3BDD"/>
    <w:rsid w:val="00AB3D2E"/>
    <w:rsid w:val="00AB4415"/>
    <w:rsid w:val="00AB46FD"/>
    <w:rsid w:val="00AB54F9"/>
    <w:rsid w:val="00AB694F"/>
    <w:rsid w:val="00AB6C79"/>
    <w:rsid w:val="00AB7905"/>
    <w:rsid w:val="00AB7B74"/>
    <w:rsid w:val="00AC0346"/>
    <w:rsid w:val="00AC078F"/>
    <w:rsid w:val="00AC0C1D"/>
    <w:rsid w:val="00AC1068"/>
    <w:rsid w:val="00AC1D75"/>
    <w:rsid w:val="00AC298F"/>
    <w:rsid w:val="00AC2E7C"/>
    <w:rsid w:val="00AC3ADB"/>
    <w:rsid w:val="00AC4054"/>
    <w:rsid w:val="00AC424B"/>
    <w:rsid w:val="00AC5419"/>
    <w:rsid w:val="00AC6612"/>
    <w:rsid w:val="00AC777E"/>
    <w:rsid w:val="00AD067A"/>
    <w:rsid w:val="00AD0EAF"/>
    <w:rsid w:val="00AD1007"/>
    <w:rsid w:val="00AD3235"/>
    <w:rsid w:val="00AD5870"/>
    <w:rsid w:val="00AD5C4D"/>
    <w:rsid w:val="00AD5E53"/>
    <w:rsid w:val="00AD6DC2"/>
    <w:rsid w:val="00AD7175"/>
    <w:rsid w:val="00AD7394"/>
    <w:rsid w:val="00AE02C3"/>
    <w:rsid w:val="00AE09B8"/>
    <w:rsid w:val="00AE35E2"/>
    <w:rsid w:val="00AE407C"/>
    <w:rsid w:val="00AE40AD"/>
    <w:rsid w:val="00AE4B00"/>
    <w:rsid w:val="00AE5259"/>
    <w:rsid w:val="00AE5BDE"/>
    <w:rsid w:val="00AE61A5"/>
    <w:rsid w:val="00AE6B15"/>
    <w:rsid w:val="00AE7150"/>
    <w:rsid w:val="00AF0B6C"/>
    <w:rsid w:val="00AF1245"/>
    <w:rsid w:val="00AF153D"/>
    <w:rsid w:val="00AF15AB"/>
    <w:rsid w:val="00AF2763"/>
    <w:rsid w:val="00AF5E03"/>
    <w:rsid w:val="00AF7161"/>
    <w:rsid w:val="00B000FF"/>
    <w:rsid w:val="00B0077B"/>
    <w:rsid w:val="00B00C34"/>
    <w:rsid w:val="00B02A63"/>
    <w:rsid w:val="00B0328B"/>
    <w:rsid w:val="00B03A54"/>
    <w:rsid w:val="00B03E26"/>
    <w:rsid w:val="00B04181"/>
    <w:rsid w:val="00B04CE3"/>
    <w:rsid w:val="00B0583F"/>
    <w:rsid w:val="00B0669C"/>
    <w:rsid w:val="00B06B06"/>
    <w:rsid w:val="00B07121"/>
    <w:rsid w:val="00B0728F"/>
    <w:rsid w:val="00B101F6"/>
    <w:rsid w:val="00B11C68"/>
    <w:rsid w:val="00B11E69"/>
    <w:rsid w:val="00B124E4"/>
    <w:rsid w:val="00B12C19"/>
    <w:rsid w:val="00B12E1D"/>
    <w:rsid w:val="00B133A1"/>
    <w:rsid w:val="00B15AE4"/>
    <w:rsid w:val="00B165E3"/>
    <w:rsid w:val="00B171EA"/>
    <w:rsid w:val="00B17419"/>
    <w:rsid w:val="00B222C9"/>
    <w:rsid w:val="00B24207"/>
    <w:rsid w:val="00B24A9B"/>
    <w:rsid w:val="00B26DDB"/>
    <w:rsid w:val="00B308A3"/>
    <w:rsid w:val="00B3092A"/>
    <w:rsid w:val="00B31078"/>
    <w:rsid w:val="00B3268E"/>
    <w:rsid w:val="00B33815"/>
    <w:rsid w:val="00B33D16"/>
    <w:rsid w:val="00B341C1"/>
    <w:rsid w:val="00B347DC"/>
    <w:rsid w:val="00B35E7F"/>
    <w:rsid w:val="00B36160"/>
    <w:rsid w:val="00B36561"/>
    <w:rsid w:val="00B400EA"/>
    <w:rsid w:val="00B40306"/>
    <w:rsid w:val="00B407C6"/>
    <w:rsid w:val="00B41904"/>
    <w:rsid w:val="00B423C8"/>
    <w:rsid w:val="00B448A6"/>
    <w:rsid w:val="00B46129"/>
    <w:rsid w:val="00B4674A"/>
    <w:rsid w:val="00B46ADD"/>
    <w:rsid w:val="00B50649"/>
    <w:rsid w:val="00B50F48"/>
    <w:rsid w:val="00B52694"/>
    <w:rsid w:val="00B52B03"/>
    <w:rsid w:val="00B52CAB"/>
    <w:rsid w:val="00B535E8"/>
    <w:rsid w:val="00B57631"/>
    <w:rsid w:val="00B630CF"/>
    <w:rsid w:val="00B6328F"/>
    <w:rsid w:val="00B63F49"/>
    <w:rsid w:val="00B65358"/>
    <w:rsid w:val="00B65ACE"/>
    <w:rsid w:val="00B65C97"/>
    <w:rsid w:val="00B65EC2"/>
    <w:rsid w:val="00B6616F"/>
    <w:rsid w:val="00B66FE1"/>
    <w:rsid w:val="00B7007B"/>
    <w:rsid w:val="00B7023D"/>
    <w:rsid w:val="00B708B1"/>
    <w:rsid w:val="00B7110D"/>
    <w:rsid w:val="00B711FB"/>
    <w:rsid w:val="00B72BAD"/>
    <w:rsid w:val="00B73982"/>
    <w:rsid w:val="00B73ECE"/>
    <w:rsid w:val="00B74DFB"/>
    <w:rsid w:val="00B75D74"/>
    <w:rsid w:val="00B77029"/>
    <w:rsid w:val="00B77183"/>
    <w:rsid w:val="00B77A25"/>
    <w:rsid w:val="00B815A9"/>
    <w:rsid w:val="00B817E0"/>
    <w:rsid w:val="00B818C8"/>
    <w:rsid w:val="00B82738"/>
    <w:rsid w:val="00B83416"/>
    <w:rsid w:val="00B843CD"/>
    <w:rsid w:val="00B84AE8"/>
    <w:rsid w:val="00B86B09"/>
    <w:rsid w:val="00B86B3C"/>
    <w:rsid w:val="00B86B7A"/>
    <w:rsid w:val="00B87418"/>
    <w:rsid w:val="00B876EF"/>
    <w:rsid w:val="00B90BF3"/>
    <w:rsid w:val="00B92014"/>
    <w:rsid w:val="00B92767"/>
    <w:rsid w:val="00B94616"/>
    <w:rsid w:val="00B951EF"/>
    <w:rsid w:val="00B96979"/>
    <w:rsid w:val="00B97946"/>
    <w:rsid w:val="00BA0E76"/>
    <w:rsid w:val="00BA1393"/>
    <w:rsid w:val="00BA19EC"/>
    <w:rsid w:val="00BA1E39"/>
    <w:rsid w:val="00BA2225"/>
    <w:rsid w:val="00BA30A1"/>
    <w:rsid w:val="00BA39C4"/>
    <w:rsid w:val="00BA3BB4"/>
    <w:rsid w:val="00BA474B"/>
    <w:rsid w:val="00BA510E"/>
    <w:rsid w:val="00BB3926"/>
    <w:rsid w:val="00BB3AEE"/>
    <w:rsid w:val="00BB6334"/>
    <w:rsid w:val="00BC2097"/>
    <w:rsid w:val="00BC2AA4"/>
    <w:rsid w:val="00BC375A"/>
    <w:rsid w:val="00BC55A1"/>
    <w:rsid w:val="00BC618A"/>
    <w:rsid w:val="00BD25BF"/>
    <w:rsid w:val="00BD32FA"/>
    <w:rsid w:val="00BD5667"/>
    <w:rsid w:val="00BD6D7C"/>
    <w:rsid w:val="00BE0054"/>
    <w:rsid w:val="00BE0F2C"/>
    <w:rsid w:val="00BE0F82"/>
    <w:rsid w:val="00BE11C4"/>
    <w:rsid w:val="00BE1CB8"/>
    <w:rsid w:val="00BE1DE5"/>
    <w:rsid w:val="00BE309E"/>
    <w:rsid w:val="00BE3476"/>
    <w:rsid w:val="00BE3942"/>
    <w:rsid w:val="00BE41DE"/>
    <w:rsid w:val="00BE51FD"/>
    <w:rsid w:val="00BE5796"/>
    <w:rsid w:val="00BE5D49"/>
    <w:rsid w:val="00BE79B4"/>
    <w:rsid w:val="00BF0778"/>
    <w:rsid w:val="00BF13A5"/>
    <w:rsid w:val="00BF1DA5"/>
    <w:rsid w:val="00BF243B"/>
    <w:rsid w:val="00BF2441"/>
    <w:rsid w:val="00BF2689"/>
    <w:rsid w:val="00BF283C"/>
    <w:rsid w:val="00BF2914"/>
    <w:rsid w:val="00BF3213"/>
    <w:rsid w:val="00BF3F63"/>
    <w:rsid w:val="00BF44BF"/>
    <w:rsid w:val="00BF5896"/>
    <w:rsid w:val="00BF760E"/>
    <w:rsid w:val="00C00872"/>
    <w:rsid w:val="00C02243"/>
    <w:rsid w:val="00C0266B"/>
    <w:rsid w:val="00C03F67"/>
    <w:rsid w:val="00C0489E"/>
    <w:rsid w:val="00C04C66"/>
    <w:rsid w:val="00C04E48"/>
    <w:rsid w:val="00C05EBE"/>
    <w:rsid w:val="00C06F93"/>
    <w:rsid w:val="00C07061"/>
    <w:rsid w:val="00C0725D"/>
    <w:rsid w:val="00C10437"/>
    <w:rsid w:val="00C107BE"/>
    <w:rsid w:val="00C10B14"/>
    <w:rsid w:val="00C116D2"/>
    <w:rsid w:val="00C11A77"/>
    <w:rsid w:val="00C126FA"/>
    <w:rsid w:val="00C12952"/>
    <w:rsid w:val="00C14230"/>
    <w:rsid w:val="00C1633A"/>
    <w:rsid w:val="00C167AC"/>
    <w:rsid w:val="00C220E7"/>
    <w:rsid w:val="00C22229"/>
    <w:rsid w:val="00C22776"/>
    <w:rsid w:val="00C2476B"/>
    <w:rsid w:val="00C250DA"/>
    <w:rsid w:val="00C25E5D"/>
    <w:rsid w:val="00C26A5D"/>
    <w:rsid w:val="00C3000A"/>
    <w:rsid w:val="00C30101"/>
    <w:rsid w:val="00C32997"/>
    <w:rsid w:val="00C3386A"/>
    <w:rsid w:val="00C35333"/>
    <w:rsid w:val="00C374B1"/>
    <w:rsid w:val="00C40CEC"/>
    <w:rsid w:val="00C424C7"/>
    <w:rsid w:val="00C42C0F"/>
    <w:rsid w:val="00C43038"/>
    <w:rsid w:val="00C430E3"/>
    <w:rsid w:val="00C43613"/>
    <w:rsid w:val="00C45F57"/>
    <w:rsid w:val="00C46500"/>
    <w:rsid w:val="00C50250"/>
    <w:rsid w:val="00C50F3C"/>
    <w:rsid w:val="00C51EDF"/>
    <w:rsid w:val="00C5250C"/>
    <w:rsid w:val="00C559EA"/>
    <w:rsid w:val="00C55A7D"/>
    <w:rsid w:val="00C56917"/>
    <w:rsid w:val="00C56936"/>
    <w:rsid w:val="00C62CB0"/>
    <w:rsid w:val="00C63ECE"/>
    <w:rsid w:val="00C64F66"/>
    <w:rsid w:val="00C671F1"/>
    <w:rsid w:val="00C700AE"/>
    <w:rsid w:val="00C72DC4"/>
    <w:rsid w:val="00C72E1E"/>
    <w:rsid w:val="00C74B7D"/>
    <w:rsid w:val="00C75296"/>
    <w:rsid w:val="00C75E32"/>
    <w:rsid w:val="00C764DA"/>
    <w:rsid w:val="00C767EA"/>
    <w:rsid w:val="00C8145D"/>
    <w:rsid w:val="00C81DFC"/>
    <w:rsid w:val="00C854EB"/>
    <w:rsid w:val="00C8592B"/>
    <w:rsid w:val="00C85EA8"/>
    <w:rsid w:val="00C86BD4"/>
    <w:rsid w:val="00C913CC"/>
    <w:rsid w:val="00C94DF9"/>
    <w:rsid w:val="00C96E35"/>
    <w:rsid w:val="00CA0901"/>
    <w:rsid w:val="00CA19A4"/>
    <w:rsid w:val="00CA279F"/>
    <w:rsid w:val="00CA3DA2"/>
    <w:rsid w:val="00CA652B"/>
    <w:rsid w:val="00CA6FFD"/>
    <w:rsid w:val="00CA7199"/>
    <w:rsid w:val="00CB001B"/>
    <w:rsid w:val="00CB0540"/>
    <w:rsid w:val="00CB0B04"/>
    <w:rsid w:val="00CB2BAE"/>
    <w:rsid w:val="00CB303B"/>
    <w:rsid w:val="00CB481B"/>
    <w:rsid w:val="00CB6EAC"/>
    <w:rsid w:val="00CB6F73"/>
    <w:rsid w:val="00CB732D"/>
    <w:rsid w:val="00CB7F74"/>
    <w:rsid w:val="00CC14C1"/>
    <w:rsid w:val="00CC157B"/>
    <w:rsid w:val="00CC172B"/>
    <w:rsid w:val="00CC206B"/>
    <w:rsid w:val="00CC25EB"/>
    <w:rsid w:val="00CC3232"/>
    <w:rsid w:val="00CC3309"/>
    <w:rsid w:val="00CC4269"/>
    <w:rsid w:val="00CC4E5C"/>
    <w:rsid w:val="00CC5A84"/>
    <w:rsid w:val="00CC5EE7"/>
    <w:rsid w:val="00CC70DC"/>
    <w:rsid w:val="00CC7CE2"/>
    <w:rsid w:val="00CD1819"/>
    <w:rsid w:val="00CD2896"/>
    <w:rsid w:val="00CD2CCE"/>
    <w:rsid w:val="00CD40C4"/>
    <w:rsid w:val="00CD44D2"/>
    <w:rsid w:val="00CD57D3"/>
    <w:rsid w:val="00CD6149"/>
    <w:rsid w:val="00CD69B2"/>
    <w:rsid w:val="00CD6FD1"/>
    <w:rsid w:val="00CD7049"/>
    <w:rsid w:val="00CD7D98"/>
    <w:rsid w:val="00CE06EC"/>
    <w:rsid w:val="00CE19AF"/>
    <w:rsid w:val="00CE1D8D"/>
    <w:rsid w:val="00CE3598"/>
    <w:rsid w:val="00CE4A50"/>
    <w:rsid w:val="00CE64BC"/>
    <w:rsid w:val="00CE67B6"/>
    <w:rsid w:val="00CE6A45"/>
    <w:rsid w:val="00CF0A03"/>
    <w:rsid w:val="00CF1C30"/>
    <w:rsid w:val="00CF224A"/>
    <w:rsid w:val="00CF230E"/>
    <w:rsid w:val="00CF23E3"/>
    <w:rsid w:val="00CF328E"/>
    <w:rsid w:val="00CF380C"/>
    <w:rsid w:val="00CF3CDC"/>
    <w:rsid w:val="00CF6310"/>
    <w:rsid w:val="00CF6CE9"/>
    <w:rsid w:val="00CF7CD6"/>
    <w:rsid w:val="00D00C66"/>
    <w:rsid w:val="00D01253"/>
    <w:rsid w:val="00D01398"/>
    <w:rsid w:val="00D03688"/>
    <w:rsid w:val="00D0476F"/>
    <w:rsid w:val="00D056BF"/>
    <w:rsid w:val="00D05C93"/>
    <w:rsid w:val="00D06DA1"/>
    <w:rsid w:val="00D101B1"/>
    <w:rsid w:val="00D102B9"/>
    <w:rsid w:val="00D14E9B"/>
    <w:rsid w:val="00D14F79"/>
    <w:rsid w:val="00D1584D"/>
    <w:rsid w:val="00D15B80"/>
    <w:rsid w:val="00D16651"/>
    <w:rsid w:val="00D20263"/>
    <w:rsid w:val="00D21F09"/>
    <w:rsid w:val="00D22E03"/>
    <w:rsid w:val="00D238E8"/>
    <w:rsid w:val="00D249E4"/>
    <w:rsid w:val="00D24A23"/>
    <w:rsid w:val="00D25CA2"/>
    <w:rsid w:val="00D2737B"/>
    <w:rsid w:val="00D27A78"/>
    <w:rsid w:val="00D31467"/>
    <w:rsid w:val="00D3579F"/>
    <w:rsid w:val="00D363F6"/>
    <w:rsid w:val="00D36DD6"/>
    <w:rsid w:val="00D37B8E"/>
    <w:rsid w:val="00D400B5"/>
    <w:rsid w:val="00D4118C"/>
    <w:rsid w:val="00D41FA1"/>
    <w:rsid w:val="00D42C43"/>
    <w:rsid w:val="00D43C91"/>
    <w:rsid w:val="00D44FF9"/>
    <w:rsid w:val="00D45775"/>
    <w:rsid w:val="00D46228"/>
    <w:rsid w:val="00D4654C"/>
    <w:rsid w:val="00D46AC3"/>
    <w:rsid w:val="00D46CB0"/>
    <w:rsid w:val="00D46DF1"/>
    <w:rsid w:val="00D51C9A"/>
    <w:rsid w:val="00D541DC"/>
    <w:rsid w:val="00D56733"/>
    <w:rsid w:val="00D56AFD"/>
    <w:rsid w:val="00D6227C"/>
    <w:rsid w:val="00D62402"/>
    <w:rsid w:val="00D63C60"/>
    <w:rsid w:val="00D63FF1"/>
    <w:rsid w:val="00D64231"/>
    <w:rsid w:val="00D64683"/>
    <w:rsid w:val="00D651DD"/>
    <w:rsid w:val="00D66ACF"/>
    <w:rsid w:val="00D70984"/>
    <w:rsid w:val="00D70BC5"/>
    <w:rsid w:val="00D71800"/>
    <w:rsid w:val="00D74FDA"/>
    <w:rsid w:val="00D7649C"/>
    <w:rsid w:val="00D82AD9"/>
    <w:rsid w:val="00D83165"/>
    <w:rsid w:val="00D8376F"/>
    <w:rsid w:val="00D87E6F"/>
    <w:rsid w:val="00D9279B"/>
    <w:rsid w:val="00D92A8A"/>
    <w:rsid w:val="00D9387B"/>
    <w:rsid w:val="00D94630"/>
    <w:rsid w:val="00D94BD4"/>
    <w:rsid w:val="00D94E6E"/>
    <w:rsid w:val="00D96227"/>
    <w:rsid w:val="00D9633C"/>
    <w:rsid w:val="00D96679"/>
    <w:rsid w:val="00D97347"/>
    <w:rsid w:val="00D97BD6"/>
    <w:rsid w:val="00DA19BC"/>
    <w:rsid w:val="00DA4AE2"/>
    <w:rsid w:val="00DA5380"/>
    <w:rsid w:val="00DA5895"/>
    <w:rsid w:val="00DA6ACF"/>
    <w:rsid w:val="00DA776B"/>
    <w:rsid w:val="00DA79F6"/>
    <w:rsid w:val="00DB11F4"/>
    <w:rsid w:val="00DB2FF3"/>
    <w:rsid w:val="00DB552A"/>
    <w:rsid w:val="00DB5B36"/>
    <w:rsid w:val="00DB6685"/>
    <w:rsid w:val="00DB6850"/>
    <w:rsid w:val="00DB6C15"/>
    <w:rsid w:val="00DB74DE"/>
    <w:rsid w:val="00DC1CA3"/>
    <w:rsid w:val="00DC1DAC"/>
    <w:rsid w:val="00DC224F"/>
    <w:rsid w:val="00DC25CB"/>
    <w:rsid w:val="00DC393D"/>
    <w:rsid w:val="00DC511E"/>
    <w:rsid w:val="00DC5DD9"/>
    <w:rsid w:val="00DD091C"/>
    <w:rsid w:val="00DD26B1"/>
    <w:rsid w:val="00DD427D"/>
    <w:rsid w:val="00DD4C82"/>
    <w:rsid w:val="00DD5786"/>
    <w:rsid w:val="00DD66B5"/>
    <w:rsid w:val="00DE15B8"/>
    <w:rsid w:val="00DE3DFD"/>
    <w:rsid w:val="00DE584B"/>
    <w:rsid w:val="00DE6F54"/>
    <w:rsid w:val="00DE794D"/>
    <w:rsid w:val="00DE7C24"/>
    <w:rsid w:val="00DF02D6"/>
    <w:rsid w:val="00DF102A"/>
    <w:rsid w:val="00DF2A1D"/>
    <w:rsid w:val="00DF2D6D"/>
    <w:rsid w:val="00DF2E49"/>
    <w:rsid w:val="00DF4116"/>
    <w:rsid w:val="00DF5D49"/>
    <w:rsid w:val="00DF6A98"/>
    <w:rsid w:val="00E032D8"/>
    <w:rsid w:val="00E0344B"/>
    <w:rsid w:val="00E0405E"/>
    <w:rsid w:val="00E05182"/>
    <w:rsid w:val="00E0520E"/>
    <w:rsid w:val="00E054BB"/>
    <w:rsid w:val="00E05DE6"/>
    <w:rsid w:val="00E06CC8"/>
    <w:rsid w:val="00E107B3"/>
    <w:rsid w:val="00E10F19"/>
    <w:rsid w:val="00E114DC"/>
    <w:rsid w:val="00E1181B"/>
    <w:rsid w:val="00E11E49"/>
    <w:rsid w:val="00E14272"/>
    <w:rsid w:val="00E1457C"/>
    <w:rsid w:val="00E14D21"/>
    <w:rsid w:val="00E15791"/>
    <w:rsid w:val="00E16C3F"/>
    <w:rsid w:val="00E1722D"/>
    <w:rsid w:val="00E1750C"/>
    <w:rsid w:val="00E200B1"/>
    <w:rsid w:val="00E20784"/>
    <w:rsid w:val="00E20CA3"/>
    <w:rsid w:val="00E23D18"/>
    <w:rsid w:val="00E240A5"/>
    <w:rsid w:val="00E245B2"/>
    <w:rsid w:val="00E247F0"/>
    <w:rsid w:val="00E24E94"/>
    <w:rsid w:val="00E25817"/>
    <w:rsid w:val="00E25A3C"/>
    <w:rsid w:val="00E25E6E"/>
    <w:rsid w:val="00E26336"/>
    <w:rsid w:val="00E266D4"/>
    <w:rsid w:val="00E307AD"/>
    <w:rsid w:val="00E308A5"/>
    <w:rsid w:val="00E3091B"/>
    <w:rsid w:val="00E3153D"/>
    <w:rsid w:val="00E3482E"/>
    <w:rsid w:val="00E3519C"/>
    <w:rsid w:val="00E3722F"/>
    <w:rsid w:val="00E37912"/>
    <w:rsid w:val="00E37B70"/>
    <w:rsid w:val="00E4194D"/>
    <w:rsid w:val="00E43F01"/>
    <w:rsid w:val="00E449A7"/>
    <w:rsid w:val="00E45DEC"/>
    <w:rsid w:val="00E465EC"/>
    <w:rsid w:val="00E46B33"/>
    <w:rsid w:val="00E515EB"/>
    <w:rsid w:val="00E523EB"/>
    <w:rsid w:val="00E530DB"/>
    <w:rsid w:val="00E53EAD"/>
    <w:rsid w:val="00E6128B"/>
    <w:rsid w:val="00E617CE"/>
    <w:rsid w:val="00E62F3C"/>
    <w:rsid w:val="00E63478"/>
    <w:rsid w:val="00E63CFB"/>
    <w:rsid w:val="00E63EA7"/>
    <w:rsid w:val="00E644E0"/>
    <w:rsid w:val="00E65E72"/>
    <w:rsid w:val="00E6627D"/>
    <w:rsid w:val="00E665AA"/>
    <w:rsid w:val="00E679D7"/>
    <w:rsid w:val="00E701BC"/>
    <w:rsid w:val="00E70F72"/>
    <w:rsid w:val="00E7671D"/>
    <w:rsid w:val="00E76C6F"/>
    <w:rsid w:val="00E77246"/>
    <w:rsid w:val="00E772B2"/>
    <w:rsid w:val="00E80091"/>
    <w:rsid w:val="00E80344"/>
    <w:rsid w:val="00E80B46"/>
    <w:rsid w:val="00E80CCF"/>
    <w:rsid w:val="00E818AD"/>
    <w:rsid w:val="00E81ABF"/>
    <w:rsid w:val="00E83342"/>
    <w:rsid w:val="00E83763"/>
    <w:rsid w:val="00E848FF"/>
    <w:rsid w:val="00E84974"/>
    <w:rsid w:val="00E85EB4"/>
    <w:rsid w:val="00E8611D"/>
    <w:rsid w:val="00E87817"/>
    <w:rsid w:val="00E8794D"/>
    <w:rsid w:val="00E917E6"/>
    <w:rsid w:val="00E92021"/>
    <w:rsid w:val="00E92980"/>
    <w:rsid w:val="00E933F2"/>
    <w:rsid w:val="00E93838"/>
    <w:rsid w:val="00E95BF3"/>
    <w:rsid w:val="00E96D6B"/>
    <w:rsid w:val="00E97229"/>
    <w:rsid w:val="00EA1510"/>
    <w:rsid w:val="00EA21C9"/>
    <w:rsid w:val="00EA3FCF"/>
    <w:rsid w:val="00EA4294"/>
    <w:rsid w:val="00EA42E9"/>
    <w:rsid w:val="00EA499B"/>
    <w:rsid w:val="00EA4F20"/>
    <w:rsid w:val="00EA6050"/>
    <w:rsid w:val="00EA6552"/>
    <w:rsid w:val="00EA73DB"/>
    <w:rsid w:val="00EA77E5"/>
    <w:rsid w:val="00EB0C2C"/>
    <w:rsid w:val="00EB0E5E"/>
    <w:rsid w:val="00EB0F22"/>
    <w:rsid w:val="00EB1EBB"/>
    <w:rsid w:val="00EB23AB"/>
    <w:rsid w:val="00EB30F1"/>
    <w:rsid w:val="00EB32EB"/>
    <w:rsid w:val="00EB4D7D"/>
    <w:rsid w:val="00EB5E0E"/>
    <w:rsid w:val="00EB6BC3"/>
    <w:rsid w:val="00EB70CD"/>
    <w:rsid w:val="00EB71B4"/>
    <w:rsid w:val="00EB736F"/>
    <w:rsid w:val="00EC0FD7"/>
    <w:rsid w:val="00EC2F5A"/>
    <w:rsid w:val="00EC5B6B"/>
    <w:rsid w:val="00ED02A1"/>
    <w:rsid w:val="00ED1498"/>
    <w:rsid w:val="00ED1FF5"/>
    <w:rsid w:val="00ED4A57"/>
    <w:rsid w:val="00ED6410"/>
    <w:rsid w:val="00EE04A5"/>
    <w:rsid w:val="00EE04CD"/>
    <w:rsid w:val="00EE1F40"/>
    <w:rsid w:val="00EE28AB"/>
    <w:rsid w:val="00EE326E"/>
    <w:rsid w:val="00EE34E9"/>
    <w:rsid w:val="00EE5CB2"/>
    <w:rsid w:val="00EE650F"/>
    <w:rsid w:val="00EF08E2"/>
    <w:rsid w:val="00EF14CF"/>
    <w:rsid w:val="00EF2923"/>
    <w:rsid w:val="00EF2A9D"/>
    <w:rsid w:val="00EF2EED"/>
    <w:rsid w:val="00EF3306"/>
    <w:rsid w:val="00EF36C8"/>
    <w:rsid w:val="00EF3AE1"/>
    <w:rsid w:val="00EF41DC"/>
    <w:rsid w:val="00EF5D3F"/>
    <w:rsid w:val="00EF712B"/>
    <w:rsid w:val="00EF77E5"/>
    <w:rsid w:val="00EF7D5A"/>
    <w:rsid w:val="00F008F3"/>
    <w:rsid w:val="00F00E6D"/>
    <w:rsid w:val="00F012F0"/>
    <w:rsid w:val="00F020DD"/>
    <w:rsid w:val="00F03617"/>
    <w:rsid w:val="00F04EF2"/>
    <w:rsid w:val="00F05860"/>
    <w:rsid w:val="00F05FA7"/>
    <w:rsid w:val="00F06535"/>
    <w:rsid w:val="00F06DF4"/>
    <w:rsid w:val="00F06E80"/>
    <w:rsid w:val="00F06EAB"/>
    <w:rsid w:val="00F101C0"/>
    <w:rsid w:val="00F10503"/>
    <w:rsid w:val="00F112EA"/>
    <w:rsid w:val="00F127BA"/>
    <w:rsid w:val="00F13519"/>
    <w:rsid w:val="00F14753"/>
    <w:rsid w:val="00F16C66"/>
    <w:rsid w:val="00F17781"/>
    <w:rsid w:val="00F2325E"/>
    <w:rsid w:val="00F23E3D"/>
    <w:rsid w:val="00F24853"/>
    <w:rsid w:val="00F25C21"/>
    <w:rsid w:val="00F25F07"/>
    <w:rsid w:val="00F26B4C"/>
    <w:rsid w:val="00F26EB0"/>
    <w:rsid w:val="00F2797A"/>
    <w:rsid w:val="00F342ED"/>
    <w:rsid w:val="00F34C3E"/>
    <w:rsid w:val="00F34DA5"/>
    <w:rsid w:val="00F35EC8"/>
    <w:rsid w:val="00F36D1D"/>
    <w:rsid w:val="00F377A4"/>
    <w:rsid w:val="00F37BF1"/>
    <w:rsid w:val="00F4091A"/>
    <w:rsid w:val="00F41368"/>
    <w:rsid w:val="00F41834"/>
    <w:rsid w:val="00F44056"/>
    <w:rsid w:val="00F44420"/>
    <w:rsid w:val="00F45CFC"/>
    <w:rsid w:val="00F45F68"/>
    <w:rsid w:val="00F469BA"/>
    <w:rsid w:val="00F47C18"/>
    <w:rsid w:val="00F50437"/>
    <w:rsid w:val="00F5134A"/>
    <w:rsid w:val="00F52628"/>
    <w:rsid w:val="00F530D1"/>
    <w:rsid w:val="00F54BAD"/>
    <w:rsid w:val="00F5502C"/>
    <w:rsid w:val="00F55FA6"/>
    <w:rsid w:val="00F5774B"/>
    <w:rsid w:val="00F60480"/>
    <w:rsid w:val="00F61FE9"/>
    <w:rsid w:val="00F63C90"/>
    <w:rsid w:val="00F64D99"/>
    <w:rsid w:val="00F678E0"/>
    <w:rsid w:val="00F67CEC"/>
    <w:rsid w:val="00F703CA"/>
    <w:rsid w:val="00F7122C"/>
    <w:rsid w:val="00F715E6"/>
    <w:rsid w:val="00F715FD"/>
    <w:rsid w:val="00F7263B"/>
    <w:rsid w:val="00F732B5"/>
    <w:rsid w:val="00F733ED"/>
    <w:rsid w:val="00F743FE"/>
    <w:rsid w:val="00F75D94"/>
    <w:rsid w:val="00F76B51"/>
    <w:rsid w:val="00F774B6"/>
    <w:rsid w:val="00F779CD"/>
    <w:rsid w:val="00F80A6A"/>
    <w:rsid w:val="00F80E1A"/>
    <w:rsid w:val="00F8149C"/>
    <w:rsid w:val="00F82F40"/>
    <w:rsid w:val="00F831C9"/>
    <w:rsid w:val="00F837B8"/>
    <w:rsid w:val="00F8430C"/>
    <w:rsid w:val="00F84D96"/>
    <w:rsid w:val="00F8690D"/>
    <w:rsid w:val="00F91422"/>
    <w:rsid w:val="00F9167A"/>
    <w:rsid w:val="00F91DBB"/>
    <w:rsid w:val="00F92866"/>
    <w:rsid w:val="00F9293F"/>
    <w:rsid w:val="00F961B9"/>
    <w:rsid w:val="00F97E5C"/>
    <w:rsid w:val="00FA145E"/>
    <w:rsid w:val="00FA20CA"/>
    <w:rsid w:val="00FA3EAA"/>
    <w:rsid w:val="00FA49AE"/>
    <w:rsid w:val="00FA4B6A"/>
    <w:rsid w:val="00FA7DD1"/>
    <w:rsid w:val="00FB094D"/>
    <w:rsid w:val="00FB1BE3"/>
    <w:rsid w:val="00FB202B"/>
    <w:rsid w:val="00FB2256"/>
    <w:rsid w:val="00FB2595"/>
    <w:rsid w:val="00FB2B62"/>
    <w:rsid w:val="00FB3398"/>
    <w:rsid w:val="00FB38B9"/>
    <w:rsid w:val="00FB3EF3"/>
    <w:rsid w:val="00FB497C"/>
    <w:rsid w:val="00FB4B0F"/>
    <w:rsid w:val="00FB4FC4"/>
    <w:rsid w:val="00FB50D6"/>
    <w:rsid w:val="00FB58C5"/>
    <w:rsid w:val="00FB665C"/>
    <w:rsid w:val="00FB668B"/>
    <w:rsid w:val="00FC072E"/>
    <w:rsid w:val="00FC388D"/>
    <w:rsid w:val="00FC4DF9"/>
    <w:rsid w:val="00FC5AEE"/>
    <w:rsid w:val="00FC656E"/>
    <w:rsid w:val="00FC69C3"/>
    <w:rsid w:val="00FD46D1"/>
    <w:rsid w:val="00FD54DB"/>
    <w:rsid w:val="00FD58F2"/>
    <w:rsid w:val="00FD5E24"/>
    <w:rsid w:val="00FD6B91"/>
    <w:rsid w:val="00FE008E"/>
    <w:rsid w:val="00FE1080"/>
    <w:rsid w:val="00FE133D"/>
    <w:rsid w:val="00FE4D17"/>
    <w:rsid w:val="00FE4E04"/>
    <w:rsid w:val="00FE5427"/>
    <w:rsid w:val="00FE63A1"/>
    <w:rsid w:val="00FE71C5"/>
    <w:rsid w:val="00FF1DF1"/>
    <w:rsid w:val="00FF23BD"/>
    <w:rsid w:val="00FF25E8"/>
    <w:rsid w:val="00FF4CA5"/>
    <w:rsid w:val="00FF536D"/>
    <w:rsid w:val="00FF5408"/>
    <w:rsid w:val="00FF5B07"/>
    <w:rsid w:val="00FF623A"/>
    <w:rsid w:val="00FF6240"/>
    <w:rsid w:val="00FF6644"/>
    <w:rsid w:val="00FF680E"/>
    <w:rsid w:val="00FF6975"/>
    <w:rsid w:val="029F0571"/>
    <w:rsid w:val="045625A1"/>
    <w:rsid w:val="05972FDC"/>
    <w:rsid w:val="06110968"/>
    <w:rsid w:val="07F832D5"/>
    <w:rsid w:val="08BA6BA5"/>
    <w:rsid w:val="0A96470A"/>
    <w:rsid w:val="104208F6"/>
    <w:rsid w:val="104D2A05"/>
    <w:rsid w:val="125B4CBE"/>
    <w:rsid w:val="14BD72BF"/>
    <w:rsid w:val="16463906"/>
    <w:rsid w:val="172C5722"/>
    <w:rsid w:val="1A476B4A"/>
    <w:rsid w:val="1D047A26"/>
    <w:rsid w:val="1F1225CF"/>
    <w:rsid w:val="22EC3DEA"/>
    <w:rsid w:val="26B83F68"/>
    <w:rsid w:val="292344BA"/>
    <w:rsid w:val="2BA924ED"/>
    <w:rsid w:val="2BC674CC"/>
    <w:rsid w:val="2D6418C1"/>
    <w:rsid w:val="2E1132D2"/>
    <w:rsid w:val="2EBF3A83"/>
    <w:rsid w:val="32BE52C9"/>
    <w:rsid w:val="36F270AE"/>
    <w:rsid w:val="37627BC6"/>
    <w:rsid w:val="3B9241ED"/>
    <w:rsid w:val="3C7F5956"/>
    <w:rsid w:val="3CEA7A36"/>
    <w:rsid w:val="3E7503C3"/>
    <w:rsid w:val="45F015FF"/>
    <w:rsid w:val="4C8B5357"/>
    <w:rsid w:val="4D632788"/>
    <w:rsid w:val="4D7202BF"/>
    <w:rsid w:val="4EA50F9A"/>
    <w:rsid w:val="50FE38D4"/>
    <w:rsid w:val="599B2E5A"/>
    <w:rsid w:val="60C0024F"/>
    <w:rsid w:val="6C2B4727"/>
    <w:rsid w:val="760A5047"/>
    <w:rsid w:val="79C63C7A"/>
    <w:rsid w:val="7AC92FA9"/>
    <w:rsid w:val="7B4B69B2"/>
    <w:rsid w:val="7FB163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1"/>
    <w:qFormat/>
    <w:uiPriority w:val="99"/>
    <w:pPr>
      <w:keepNext/>
      <w:keepLines/>
      <w:widowControl w:val="0"/>
      <w:spacing w:before="340" w:after="330" w:line="576" w:lineRule="auto"/>
      <w:textAlignment w:val="auto"/>
      <w:outlineLvl w:val="0"/>
    </w:pPr>
    <w:rPr>
      <w:b/>
      <w:bCs/>
      <w:color w:val="auto"/>
      <w:kern w:val="44"/>
      <w:sz w:val="44"/>
      <w:szCs w:val="44"/>
    </w:rPr>
  </w:style>
  <w:style w:type="paragraph" w:styleId="3">
    <w:name w:val="heading 3"/>
    <w:basedOn w:val="1"/>
    <w:next w:val="1"/>
    <w:link w:val="22"/>
    <w:qFormat/>
    <w:uiPriority w:val="99"/>
    <w:pPr>
      <w:keepNext/>
      <w:keepLines/>
      <w:spacing w:before="260" w:after="260" w:line="416" w:lineRule="atLeast"/>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62"/>
    <w:unhideWhenUsed/>
    <w:qFormat/>
    <w:locked/>
    <w:uiPriority w:val="99"/>
    <w:pPr>
      <w:jc w:val="left"/>
    </w:pPr>
  </w:style>
  <w:style w:type="paragraph" w:styleId="5">
    <w:name w:val="Body Text Indent"/>
    <w:basedOn w:val="1"/>
    <w:link w:val="23"/>
    <w:qFormat/>
    <w:uiPriority w:val="99"/>
    <w:pPr>
      <w:widowControl w:val="0"/>
      <w:snapToGrid w:val="0"/>
      <w:spacing w:before="283" w:line="560" w:lineRule="exact"/>
      <w:ind w:firstLine="510"/>
    </w:pPr>
    <w:rPr>
      <w:sz w:val="28"/>
    </w:rPr>
  </w:style>
  <w:style w:type="paragraph" w:styleId="6">
    <w:name w:val="Plain Text"/>
    <w:basedOn w:val="1"/>
    <w:link w:val="52"/>
    <w:qFormat/>
    <w:uiPriority w:val="99"/>
    <w:pPr>
      <w:widowControl w:val="0"/>
      <w:spacing w:line="240" w:lineRule="auto"/>
      <w:textAlignment w:val="auto"/>
    </w:pPr>
    <w:rPr>
      <w:rFonts w:ascii="宋体" w:hAnsi="Courier New"/>
      <w:color w:val="auto"/>
      <w:kern w:val="2"/>
    </w:rPr>
  </w:style>
  <w:style w:type="paragraph" w:styleId="7">
    <w:name w:val="Date"/>
    <w:basedOn w:val="1"/>
    <w:next w:val="1"/>
    <w:link w:val="25"/>
    <w:qFormat/>
    <w:uiPriority w:val="99"/>
    <w:pPr>
      <w:ind w:left="100" w:leftChars="2500"/>
    </w:pPr>
  </w:style>
  <w:style w:type="paragraph" w:styleId="8">
    <w:name w:val="Balloon Text"/>
    <w:basedOn w:val="1"/>
    <w:link w:val="26"/>
    <w:qFormat/>
    <w:uiPriority w:val="99"/>
    <w:pPr>
      <w:spacing w:line="240" w:lineRule="auto"/>
    </w:pPr>
    <w:rPr>
      <w:sz w:val="18"/>
      <w:szCs w:val="18"/>
    </w:rPr>
  </w:style>
  <w:style w:type="paragraph" w:styleId="9">
    <w:name w:val="footer"/>
    <w:basedOn w:val="1"/>
    <w:link w:val="27"/>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8"/>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Body Text 2"/>
    <w:basedOn w:val="1"/>
    <w:link w:val="29"/>
    <w:qFormat/>
    <w:uiPriority w:val="99"/>
    <w:pPr>
      <w:spacing w:after="120" w:line="480" w:lineRule="auto"/>
    </w:pPr>
  </w:style>
  <w:style w:type="paragraph" w:styleId="14">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99"/>
    <w:rPr>
      <w:rFonts w:cs="Times New Roman"/>
      <w:b/>
    </w:rPr>
  </w:style>
  <w:style w:type="character" w:styleId="19">
    <w:name w:val="page number"/>
    <w:qFormat/>
    <w:uiPriority w:val="99"/>
    <w:rPr>
      <w:rFonts w:cs="Times New Roman"/>
    </w:rPr>
  </w:style>
  <w:style w:type="character" w:styleId="20">
    <w:name w:val="Hyperlink"/>
    <w:qFormat/>
    <w:uiPriority w:val="99"/>
    <w:rPr>
      <w:rFonts w:cs="Times New Roman"/>
      <w:color w:val="0368A8"/>
      <w:u w:val="none"/>
    </w:rPr>
  </w:style>
  <w:style w:type="character" w:customStyle="1" w:styleId="21">
    <w:name w:val="标题 1 Char"/>
    <w:link w:val="2"/>
    <w:qFormat/>
    <w:locked/>
    <w:uiPriority w:val="99"/>
    <w:rPr>
      <w:rFonts w:cs="Times New Roman"/>
      <w:b/>
      <w:bCs/>
      <w:color w:val="000000"/>
      <w:kern w:val="44"/>
      <w:sz w:val="44"/>
      <w:szCs w:val="44"/>
      <w:u w:val="none" w:color="000000"/>
    </w:rPr>
  </w:style>
  <w:style w:type="character" w:customStyle="1" w:styleId="22">
    <w:name w:val="标题 3 Char"/>
    <w:link w:val="3"/>
    <w:semiHidden/>
    <w:qFormat/>
    <w:locked/>
    <w:uiPriority w:val="99"/>
    <w:rPr>
      <w:rFonts w:cs="Times New Roman"/>
      <w:b/>
      <w:bCs/>
      <w:color w:val="000000"/>
      <w:sz w:val="32"/>
      <w:szCs w:val="32"/>
      <w:u w:val="none" w:color="000000"/>
    </w:rPr>
  </w:style>
  <w:style w:type="character" w:customStyle="1" w:styleId="23">
    <w:name w:val="正文文本缩进 Char"/>
    <w:link w:val="5"/>
    <w:semiHidden/>
    <w:qFormat/>
    <w:locked/>
    <w:uiPriority w:val="99"/>
    <w:rPr>
      <w:rFonts w:cs="Times New Roman"/>
      <w:color w:val="000000"/>
      <w:kern w:val="0"/>
      <w:sz w:val="20"/>
      <w:szCs w:val="20"/>
      <w:u w:val="none" w:color="000000"/>
    </w:rPr>
  </w:style>
  <w:style w:type="character" w:customStyle="1" w:styleId="24">
    <w:name w:val="Plain Text Char"/>
    <w:qFormat/>
    <w:locked/>
    <w:uiPriority w:val="99"/>
    <w:rPr>
      <w:rFonts w:ascii="宋体" w:hAnsi="Courier New" w:eastAsia="宋体" w:cs="Times New Roman"/>
      <w:kern w:val="2"/>
      <w:sz w:val="21"/>
      <w:lang w:val="en-US" w:eastAsia="zh-CN"/>
    </w:rPr>
  </w:style>
  <w:style w:type="character" w:customStyle="1" w:styleId="25">
    <w:name w:val="日期 Char"/>
    <w:link w:val="7"/>
    <w:qFormat/>
    <w:locked/>
    <w:uiPriority w:val="99"/>
    <w:rPr>
      <w:rFonts w:cs="Times New Roman"/>
      <w:color w:val="000000"/>
      <w:sz w:val="21"/>
      <w:u w:val="none" w:color="000000"/>
    </w:rPr>
  </w:style>
  <w:style w:type="character" w:customStyle="1" w:styleId="26">
    <w:name w:val="批注框文本 Char"/>
    <w:link w:val="8"/>
    <w:qFormat/>
    <w:locked/>
    <w:uiPriority w:val="99"/>
    <w:rPr>
      <w:rFonts w:cs="Times New Roman"/>
      <w:color w:val="000000"/>
      <w:sz w:val="18"/>
      <w:szCs w:val="18"/>
      <w:u w:val="none" w:color="000000"/>
    </w:rPr>
  </w:style>
  <w:style w:type="character" w:customStyle="1" w:styleId="27">
    <w:name w:val="页脚 Char"/>
    <w:link w:val="9"/>
    <w:semiHidden/>
    <w:qFormat/>
    <w:locked/>
    <w:uiPriority w:val="99"/>
    <w:rPr>
      <w:rFonts w:cs="Times New Roman"/>
      <w:color w:val="000000"/>
      <w:kern w:val="0"/>
      <w:sz w:val="18"/>
      <w:szCs w:val="18"/>
      <w:u w:val="none" w:color="000000"/>
    </w:rPr>
  </w:style>
  <w:style w:type="character" w:customStyle="1" w:styleId="28">
    <w:name w:val="页眉 Char"/>
    <w:link w:val="10"/>
    <w:semiHidden/>
    <w:qFormat/>
    <w:locked/>
    <w:uiPriority w:val="99"/>
    <w:rPr>
      <w:rFonts w:cs="Times New Roman"/>
      <w:color w:val="000000"/>
      <w:kern w:val="0"/>
      <w:sz w:val="18"/>
      <w:szCs w:val="18"/>
      <w:u w:val="none" w:color="000000"/>
    </w:rPr>
  </w:style>
  <w:style w:type="character" w:customStyle="1" w:styleId="29">
    <w:name w:val="正文文本 2 Char"/>
    <w:link w:val="13"/>
    <w:semiHidden/>
    <w:qFormat/>
    <w:locked/>
    <w:uiPriority w:val="99"/>
    <w:rPr>
      <w:rFonts w:cs="Times New Roman"/>
      <w:color w:val="000000"/>
      <w:kern w:val="0"/>
      <w:sz w:val="20"/>
      <w:szCs w:val="20"/>
      <w:u w:val="none" w:color="000000"/>
    </w:rPr>
  </w:style>
  <w:style w:type="paragraph" w:customStyle="1" w:styleId="30">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1">
    <w:name w:val="章标题"/>
    <w:basedOn w:val="1"/>
    <w:next w:val="32"/>
    <w:qFormat/>
    <w:uiPriority w:val="99"/>
    <w:pPr>
      <w:spacing w:before="158" w:after="153" w:line="323" w:lineRule="atLeast"/>
      <w:jc w:val="center"/>
    </w:pPr>
    <w:rPr>
      <w:rFonts w:ascii="Arial" w:eastAsia="黑体"/>
      <w:sz w:val="31"/>
    </w:rPr>
  </w:style>
  <w:style w:type="paragraph" w:customStyle="1" w:styleId="32">
    <w:name w:val="节标题"/>
    <w:basedOn w:val="1"/>
    <w:next w:val="33"/>
    <w:qFormat/>
    <w:uiPriority w:val="99"/>
    <w:pPr>
      <w:spacing w:line="289" w:lineRule="atLeast"/>
      <w:jc w:val="center"/>
    </w:pPr>
    <w:rPr>
      <w:sz w:val="28"/>
    </w:rPr>
  </w:style>
  <w:style w:type="paragraph" w:customStyle="1" w:styleId="33">
    <w:name w:val="小节标题"/>
    <w:basedOn w:val="1"/>
    <w:next w:val="1"/>
    <w:qFormat/>
    <w:uiPriority w:val="99"/>
    <w:pPr>
      <w:spacing w:before="175" w:after="102" w:line="351" w:lineRule="atLeast"/>
    </w:pPr>
    <w:rPr>
      <w:rFonts w:eastAsia="黑体"/>
    </w:rPr>
  </w:style>
  <w:style w:type="paragraph" w:customStyle="1" w:styleId="34">
    <w:name w:val="目录2"/>
    <w:basedOn w:val="1"/>
    <w:next w:val="1"/>
    <w:qFormat/>
    <w:uiPriority w:val="99"/>
    <w:pPr>
      <w:tabs>
        <w:tab w:val="left" w:leader="dot" w:pos="8503"/>
      </w:tabs>
      <w:spacing w:line="317" w:lineRule="atLeast"/>
      <w:ind w:firstLine="209"/>
    </w:pPr>
  </w:style>
  <w:style w:type="paragraph" w:customStyle="1" w:styleId="35">
    <w:name w:val="目录4"/>
    <w:basedOn w:val="1"/>
    <w:next w:val="1"/>
    <w:qFormat/>
    <w:uiPriority w:val="99"/>
    <w:pPr>
      <w:tabs>
        <w:tab w:val="left" w:leader="dot" w:pos="8503"/>
      </w:tabs>
      <w:spacing w:line="317" w:lineRule="atLeast"/>
      <w:ind w:firstLine="629"/>
    </w:pPr>
  </w:style>
  <w:style w:type="paragraph" w:customStyle="1" w:styleId="36">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37">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38">
    <w:name w:val="目录3"/>
    <w:basedOn w:val="1"/>
    <w:next w:val="1"/>
    <w:qFormat/>
    <w:uiPriority w:val="99"/>
    <w:pPr>
      <w:tabs>
        <w:tab w:val="left" w:leader="dot" w:pos="8503"/>
      </w:tabs>
      <w:spacing w:line="317" w:lineRule="atLeast"/>
      <w:ind w:firstLine="419"/>
    </w:pPr>
  </w:style>
  <w:style w:type="paragraph" w:customStyle="1" w:styleId="39">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0">
    <w:name w:val="文章总标题"/>
    <w:basedOn w:val="1"/>
    <w:next w:val="41"/>
    <w:qFormat/>
    <w:uiPriority w:val="99"/>
    <w:pPr>
      <w:spacing w:before="566" w:after="544" w:line="566" w:lineRule="atLeast"/>
      <w:jc w:val="center"/>
    </w:pPr>
    <w:rPr>
      <w:rFonts w:ascii="Arial" w:eastAsia="黑体"/>
      <w:sz w:val="54"/>
    </w:rPr>
  </w:style>
  <w:style w:type="paragraph" w:customStyle="1" w:styleId="41">
    <w:name w:val="文章附标题"/>
    <w:basedOn w:val="1"/>
    <w:next w:val="31"/>
    <w:qFormat/>
    <w:uiPriority w:val="99"/>
    <w:pPr>
      <w:spacing w:before="187" w:after="175" w:line="374" w:lineRule="atLeast"/>
      <w:jc w:val="center"/>
    </w:pPr>
    <w:rPr>
      <w:sz w:val="36"/>
    </w:rPr>
  </w:style>
  <w:style w:type="paragraph" w:customStyle="1" w:styleId="42">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3">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4">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5">
    <w:name w:val="WPS Plain"/>
    <w:qFormat/>
    <w:uiPriority w:val="99"/>
    <w:rPr>
      <w:rFonts w:ascii="Times New Roman" w:hAnsi="Times New Roman" w:eastAsia="宋体" w:cs="Times New Roman"/>
      <w:lang w:val="en-US" w:eastAsia="zh-CN" w:bidi="ar-SA"/>
    </w:rPr>
  </w:style>
  <w:style w:type="paragraph" w:customStyle="1" w:styleId="46">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7">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9">
    <w:name w:val="链接"/>
    <w:qFormat/>
    <w:uiPriority w:val="99"/>
    <w:rPr>
      <w:rFonts w:ascii="Times New Roman" w:eastAsia="宋体"/>
      <w:color w:val="0000FF"/>
      <w:sz w:val="21"/>
      <w:u w:val="single" w:color="0000FF"/>
      <w:lang w:val="en-US" w:eastAsia="zh-CN"/>
    </w:rPr>
  </w:style>
  <w:style w:type="character" w:customStyle="1" w:styleId="50">
    <w:name w:val="超级链接"/>
    <w:qFormat/>
    <w:uiPriority w:val="99"/>
    <w:rPr>
      <w:rFonts w:ascii="Times New Roman" w:eastAsia="宋体"/>
      <w:color w:val="0000FF"/>
      <w:sz w:val="21"/>
      <w:u w:val="single" w:color="0000FF"/>
      <w:lang w:val="en-US" w:eastAsia="zh-CN"/>
    </w:rPr>
  </w:style>
  <w:style w:type="character" w:customStyle="1" w:styleId="51">
    <w:name w:val="param_td12"/>
    <w:qFormat/>
    <w:uiPriority w:val="99"/>
    <w:rPr>
      <w:rFonts w:cs="Times New Roman"/>
    </w:rPr>
  </w:style>
  <w:style w:type="character" w:customStyle="1" w:styleId="52">
    <w:name w:val="纯文本 Char"/>
    <w:link w:val="6"/>
    <w:semiHidden/>
    <w:qFormat/>
    <w:locked/>
    <w:uiPriority w:val="99"/>
    <w:rPr>
      <w:rFonts w:ascii="宋体" w:hAnsi="Courier New" w:cs="Courier New"/>
      <w:color w:val="000000"/>
      <w:kern w:val="0"/>
      <w:sz w:val="21"/>
      <w:szCs w:val="21"/>
      <w:u w:val="none" w:color="000000"/>
    </w:rPr>
  </w:style>
  <w:style w:type="character" w:customStyle="1" w:styleId="53">
    <w:name w:val="纯文本 Char Char"/>
    <w:qFormat/>
    <w:uiPriority w:val="99"/>
    <w:rPr>
      <w:rFonts w:ascii="宋体" w:hAnsi="Courier New" w:eastAsia="宋体"/>
      <w:kern w:val="2"/>
      <w:sz w:val="21"/>
      <w:lang w:val="en-US" w:eastAsia="zh-CN"/>
    </w:rPr>
  </w:style>
  <w:style w:type="character" w:customStyle="1" w:styleId="54">
    <w:name w:val="Char Char4"/>
    <w:qFormat/>
    <w:uiPriority w:val="99"/>
    <w:rPr>
      <w:rFonts w:ascii="宋体" w:eastAsia="宋体"/>
      <w:kern w:val="2"/>
      <w:sz w:val="28"/>
    </w:rPr>
  </w:style>
  <w:style w:type="character" w:customStyle="1" w:styleId="55">
    <w:name w:val="纯文本 Char1"/>
    <w:qFormat/>
    <w:locked/>
    <w:uiPriority w:val="99"/>
    <w:rPr>
      <w:rFonts w:ascii="宋体" w:hAnsi="Courier New" w:cs="Times New Roman"/>
      <w:color w:val="000000"/>
      <w:kern w:val="0"/>
      <w:sz w:val="21"/>
      <w:u w:val="none" w:color="000000"/>
    </w:rPr>
  </w:style>
  <w:style w:type="character" w:customStyle="1" w:styleId="56">
    <w:name w:val="样式 首行缩进:  0 字符 Char"/>
    <w:link w:val="57"/>
    <w:qFormat/>
    <w:locked/>
    <w:uiPriority w:val="0"/>
    <w:rPr>
      <w:sz w:val="24"/>
    </w:rPr>
  </w:style>
  <w:style w:type="paragraph" w:customStyle="1" w:styleId="57">
    <w:name w:val="样式 首行缩进:  0 字符"/>
    <w:basedOn w:val="1"/>
    <w:link w:val="56"/>
    <w:qFormat/>
    <w:uiPriority w:val="0"/>
    <w:pPr>
      <w:widowControl w:val="0"/>
      <w:spacing w:line="360" w:lineRule="auto"/>
      <w:ind w:firstLine="200" w:firstLineChars="200"/>
      <w:textAlignment w:val="auto"/>
    </w:pPr>
    <w:rPr>
      <w:color w:val="auto"/>
      <w:sz w:val="24"/>
    </w:rPr>
  </w:style>
  <w:style w:type="paragraph" w:customStyle="1" w:styleId="58">
    <w:name w:val="正文文本 (2)"/>
    <w:basedOn w:val="1"/>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59">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60">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1">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character" w:customStyle="1" w:styleId="62">
    <w:name w:val="批注文字 Char"/>
    <w:link w:val="4"/>
    <w:qFormat/>
    <w:uiPriority w:val="99"/>
    <w:rPr>
      <w:color w:val="000000"/>
      <w:sz w:val="21"/>
      <w:u w:color="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64</Pages>
  <Words>11320</Words>
  <Characters>12501</Characters>
  <Lines>62</Lines>
  <Paragraphs>87</Paragraphs>
  <TotalTime>53</TotalTime>
  <ScaleCrop>false</ScaleCrop>
  <LinksUpToDate>false</LinksUpToDate>
  <CharactersWithSpaces>12744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2026-03-16T01:06:00Z</dcterms:created>
  <dc:creator>ZM</dc:creator>
  <cp:lastModifiedBy>Miss S</cp:lastModifiedBy>
  <cp:lastPrinted>2026-03-16T01:36:00Z</cp:lastPrinted>
  <dcterms:modified xsi:type="dcterms:W3CDTF">2026-04-10T04:35:43Z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eyJoZGlkIjoiMTFkNDRkNTg1MThmMGYwZDcxNWI1ODlkM2E1YThiOTEiLCJ1c2VySWQiOiIyMDU1NzkxNTgifQ==</vt:lpwstr>
  </property>
  <property fmtid="{D5CDD505-2E9C-101B-9397-08002B2CF9AE}" pid="4" name="ICV">
    <vt:lpwstr>CBB6668853FF421EAD2FF190F5CCE626_13</vt:lpwstr>
  </property>
</Properties>
</file>