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5D7D">
      <w:pPr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超高端CT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技术</w:t>
      </w:r>
      <w:r>
        <w:rPr>
          <w:rFonts w:hint="eastAsia" w:ascii="微软雅黑" w:hAnsi="微软雅黑" w:eastAsia="微软雅黑"/>
          <w:b/>
          <w:sz w:val="36"/>
        </w:rPr>
        <w:t>规格及要求</w:t>
      </w:r>
    </w:p>
    <w:tbl>
      <w:tblPr>
        <w:tblStyle w:val="5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677"/>
        <w:gridCol w:w="987"/>
        <w:gridCol w:w="851"/>
      </w:tblGrid>
      <w:tr w14:paraId="5A70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A3F3DDD">
            <w:pPr>
              <w:snapToGrid w:val="0"/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77" w:type="dxa"/>
          </w:tcPr>
          <w:p w14:paraId="5146E35C">
            <w:pPr>
              <w:snapToGrid w:val="0"/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87" w:type="dxa"/>
          </w:tcPr>
          <w:p w14:paraId="2F9C764F">
            <w:pPr>
              <w:snapToGrid w:val="0"/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1" w:type="dxa"/>
          </w:tcPr>
          <w:p w14:paraId="5D368228">
            <w:pPr>
              <w:snapToGrid w:val="0"/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5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38DE6F9">
            <w:pPr>
              <w:snapToGrid w:val="0"/>
              <w:ind w:firstLine="432" w:firstLineChars="0"/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</w:tc>
        <w:tc>
          <w:tcPr>
            <w:tcW w:w="4677" w:type="dxa"/>
          </w:tcPr>
          <w:p w14:paraId="2D0E1592">
            <w:pPr>
              <w:snapToGrid w:val="0"/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</w:rPr>
              <w:t>超高端</w:t>
            </w:r>
            <w:r>
              <w:rPr>
                <w:rFonts w:ascii="微软雅黑" w:hAnsi="微软雅黑" w:eastAsia="微软雅黑"/>
              </w:rPr>
              <w:t>X射线体层摄影设备（</w:t>
            </w:r>
            <w:r>
              <w:rPr>
                <w:rFonts w:hint="eastAsia" w:ascii="微软雅黑" w:hAnsi="微软雅黑" w:eastAsia="微软雅黑"/>
              </w:rPr>
              <w:t>C</w:t>
            </w:r>
            <w:r>
              <w:rPr>
                <w:rFonts w:ascii="微软雅黑" w:hAnsi="微软雅黑" w:eastAsia="微软雅黑"/>
              </w:rPr>
              <w:t>T</w:t>
            </w:r>
            <w:r>
              <w:rPr>
                <w:rFonts w:hint="eastAsia" w:ascii="微软雅黑" w:hAnsi="微软雅黑" w:eastAsia="微软雅黑"/>
                <w:lang w:eastAsia="zh-CN"/>
              </w:rPr>
              <w:t>）</w:t>
            </w:r>
          </w:p>
        </w:tc>
        <w:tc>
          <w:tcPr>
            <w:tcW w:w="987" w:type="dxa"/>
          </w:tcPr>
          <w:p w14:paraId="60BEB6F4">
            <w:pPr>
              <w:snapToGrid w:val="0"/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</w:tcPr>
          <w:p w14:paraId="5CD6BB73">
            <w:pPr>
              <w:snapToGrid w:val="0"/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3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786F77A">
            <w:pPr>
              <w:snapToGrid w:val="0"/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</w:tc>
        <w:tc>
          <w:tcPr>
            <w:tcW w:w="4677" w:type="dxa"/>
          </w:tcPr>
          <w:p w14:paraId="0D259A61">
            <w:pPr>
              <w:snapToGrid w:val="0"/>
              <w:rPr>
                <w:rFonts w:hint="default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功能及软件</w:t>
            </w:r>
          </w:p>
        </w:tc>
        <w:tc>
          <w:tcPr>
            <w:tcW w:w="987" w:type="dxa"/>
          </w:tcPr>
          <w:p w14:paraId="3F7F86F8">
            <w:pPr>
              <w:snapToGrid w:val="0"/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7AA51EF">
            <w:pPr>
              <w:snapToGrid w:val="0"/>
              <w:rPr>
                <w:rFonts w:ascii="微软雅黑" w:hAnsi="微软雅黑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C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2047BA1A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3143D04D">
            <w:pPr>
              <w:snapToGrid w:val="0"/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头颈部血管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分析高级后处理软件包</w:t>
            </w:r>
          </w:p>
        </w:tc>
      </w:tr>
      <w:tr w14:paraId="05CC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70245F9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26E719B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头颈部血管一键提取，无需平扫数据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头颈部DSA剪影去骨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支持通过多点追踪、管径轮廓编辑、血管/骨区域生长对血管进行编辑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中心线自动提取、中心线追踪、中心线编辑、显示/隐藏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一键分割和提取动脉瘤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动脉瘤体积、截面积、直径自动计算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自动去除静脉窦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对血管狭窄异常进行手动标记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狭窄程度计算：参考面选取、面积、直径、狭窄率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血管多参数计算：长度、直径、面积、角度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87" w:type="dxa"/>
          </w:tcPr>
          <w:p w14:paraId="1BDE5B7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5DB6E6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B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1B5B65C1">
            <w:pPr>
              <w:pStyle w:val="11"/>
              <w:numPr>
                <w:ilvl w:val="0"/>
                <w:numId w:val="1"/>
              </w:numPr>
              <w:snapToGrid w:val="0"/>
              <w:ind w:left="845" w:leftChars="0" w:hanging="425" w:firstLineChars="0"/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14839566">
            <w:pPr>
              <w:snapToGrid w:val="0"/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心脏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-血管多部位一站式分析高级后处理软件包</w:t>
            </w:r>
          </w:p>
        </w:tc>
        <w:tc>
          <w:tcPr>
            <w:tcW w:w="987" w:type="dxa"/>
          </w:tcPr>
          <w:p w14:paraId="2AD7C44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751125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0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420262A1">
            <w:pPr>
              <w:pStyle w:val="11"/>
              <w:numPr>
                <w:ilvl w:val="1"/>
                <w:numId w:val="1"/>
              </w:numPr>
              <w:snapToGrid w:val="0"/>
              <w:ind w:left="567" w:leftChars="0" w:hanging="567"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48B7046A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一站式提取多种血管并联合显示，包括头颈部血管、胸腹部血管、冠脉血管、多部位联合血管等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在一个应用下可满足，无需切换多个应用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一键式结构化报告，可将计算结果、截图直接发送至报告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AVR术前规划相关多参数计算：主动脉瓣环的长短径/面积、主动脉窦的长短径/面积、窦管连接处的长短径/面积、左心室流出道的长短径/面积、升主动脉的长短径/面积、左冠状窦至瓣环距离、右冠状窦至瓣环距离、股动脉位置和长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心功能计算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心肌定量计算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斑块分割和成分计算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血管狭窄异常标记和定量计算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多点中心线追踪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自动中心线提取和标识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左右冠脉口自动定位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主动脉瓣环平面自动定位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86EF91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0B528F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7105A145">
            <w:pPr>
              <w:pStyle w:val="11"/>
              <w:numPr>
                <w:ilvl w:val="0"/>
                <w:numId w:val="1"/>
              </w:numPr>
              <w:snapToGrid w:val="0"/>
              <w:ind w:left="845" w:leftChars="0" w:hanging="425" w:firstLineChars="0"/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3AF99A3B">
            <w:pPr>
              <w:snapToGrid w:val="0"/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肺实质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分析高级后处理软件包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7CE2D6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D6FF71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B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1CCA42D3">
            <w:pPr>
              <w:pStyle w:val="11"/>
              <w:numPr>
                <w:ilvl w:val="1"/>
                <w:numId w:val="1"/>
              </w:numPr>
              <w:snapToGrid w:val="0"/>
              <w:ind w:left="567" w:leftChars="0" w:hanging="567" w:firstLine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6969767">
            <w:pPr>
              <w:snapToGrid w:val="0"/>
              <w:rPr>
                <w:rFonts w:hint="eastAsia" w:ascii="微软雅黑" w:hAnsi="微软雅黑" w:eastAsia="微软雅黑" w:cs="Arial"/>
                <w:bCs/>
                <w:color w:val="000000" w:themeColor="text1"/>
                <w:kern w:val="24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左肺右肺全肺体积等参数、肺叶体积等参数、密度直方图及表格等参数计算及显示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肺气肿量化测量和颜色标记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肺自动分割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肺叶自动分割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肺轮廓编辑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肺裂线调整、肺叶结果编辑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气管自动分割、中心线自动提取，多截面及拉直CPR显示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气道定量计算：提供截面积、气道壁面积和占比等参数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中心线手动提取、中心线校正、气管内外径轮廓编辑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根据密度高低阈值调节的肺密度分析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7F3907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00C1CFB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E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32780C17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AB53B22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肺结节</w:t>
            </w:r>
            <w:r>
              <w:rPr>
                <w:rFonts w:ascii="微软雅黑" w:hAnsi="微软雅黑" w:eastAsia="微软雅黑" w:cs="Arial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分析高级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1DF6CE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0FE5230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3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CF5C3DB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002399F">
            <w:pPr>
              <w:snapToGrid w:val="0"/>
              <w:rPr>
                <w:rFonts w:hint="eastAsia" w:ascii="微软雅黑" w:hAnsi="微软雅黑" w:eastAsia="微软雅黑" w:cs="Arial"/>
                <w:bCs/>
                <w:color w:val="000000" w:themeColor="text1"/>
                <w:kern w:val="24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肺结节自动检测与分割，支持实性、磨玻璃、混合性结节提取及轮廓线编辑，自动测量结节直径、体积、CT值等参数，自动计算不同密度成分占比并以图文形式展示，支持同一患者不同时间点两个序列的图像比较与同步翻页阅片，支持随访数据结节传递（半自动分割）及结节变化曲线评估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377EE0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4892E2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9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4E1026C0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4A5CB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肝脏</w:t>
            </w:r>
            <w:r>
              <w:rPr>
                <w:rFonts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评估高级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78DB88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F0D612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F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AED625B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D0AB380">
            <w:pPr>
              <w:snapToGrid w:val="0"/>
              <w:rPr>
                <w:rFonts w:hint="eastAsia" w:ascii="微软雅黑" w:hAnsi="微软雅黑" w:eastAsia="微软雅黑" w:cs="Arial"/>
                <w:bCs/>
                <w:color w:val="000000" w:themeColor="text1"/>
                <w:kern w:val="24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平扫期、动脉期、门脉期、延时期多期相数据同时加载与同步浏览，自动肝脏分割提取，自动肝动脉、门静脉、肝静脉分割提取，病灶半自动分割，提供VOI、区域生长等手动工具进行自定义组织提取，肝段分割模板≥6种，最多支持≥8个肝段的分割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62A37C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498EA1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3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85A9C35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89F888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结肠分析</w:t>
            </w:r>
            <w:r>
              <w:rPr>
                <w:rFonts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8C3DCA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3F8816A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2F1E10F0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41C04B3">
            <w:pPr>
              <w:snapToGrid w:val="0"/>
              <w:rPr>
                <w:rFonts w:hint="eastAsia" w:ascii="微软雅黑" w:hAnsi="微软雅黑" w:eastAsia="微软雅黑" w:cs="Arial"/>
                <w:bCs/>
                <w:color w:val="000000" w:themeColor="text1"/>
                <w:kern w:val="24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具备自动结肠分割、自动中心线提取，支持电子清肠（自动清除残留造影剂）、一键隐藏小肠仅显示结肠结构，自动息肉检测与分割，可使用手动标记工具标记并分割可疑息肉，提供息肉参数信息（体积、长短径、CT值、距肛门距离），支持腔内漫游（结肠内窥视图）以发现可疑息肉，并提供多视图显示功能（结肠展开视图、MPR、腔内视图、全VR上查看分割后息肉）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015B44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AA3DDD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3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2023CCF5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757548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肿瘤</w:t>
            </w:r>
            <w:r>
              <w:rPr>
                <w:rFonts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评估高级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B58DFE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36723D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4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8F71A50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354525A">
            <w:pPr>
              <w:snapToGrid w:val="0"/>
              <w:rPr>
                <w:rFonts w:hint="eastAsia" w:ascii="微软雅黑" w:hAnsi="微软雅黑" w:eastAsia="微软雅黑" w:cs="Arial"/>
                <w:bCs/>
                <w:color w:val="000000" w:themeColor="text1"/>
                <w:kern w:val="24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具备≥8个随访时间点加载、任意时间点对比显示与自动配准，支持半自动分割肺结节、肝脏肿瘤及淋巴结，可编辑轮廓修正肿瘤大小，一键匹配传播标记至其他时间点，全面统计体积、长径、短径、倍增时间、CT值及变化率，并以曲线、表格展示趋势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RECIST及RECIST 1.1标准评估肿瘤。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BBBB69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A26CD5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9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A0C5FB4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BDADDD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体部</w:t>
            </w:r>
            <w:r>
              <w:rPr>
                <w:rFonts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血管分析高级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4AC778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99495D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F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28BB1F0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56801028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具备体部血管一键提取（无需平扫数据）、泌尿系统一键提取（输尿管、膀胱、尿道）及探针手动去骨，支持通过多点追踪、管径轮廓编辑、血管/骨区域生长对血管进行编辑，提供中心线自动提取、追踪、编辑及显示/隐藏，支持血管狭窄异常手动标记及狭窄程度计算（参考面选取、面积、直径、狭窄率），支持血管多参数计算（长度、直径、面积、角度），并提供一键式结构化报告（可将计算结果、截图直接发送至报告）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3DF791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E274A6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C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6435F13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0C20FE7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骨结构</w:t>
            </w:r>
            <w:r>
              <w:rPr>
                <w:rFonts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评估高级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1361DB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B0785C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7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C7A1988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00BF27CD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具备自动肋骨提取、标记、3D显示及单/多肋骨CPR显示，支持手动标记肋骨骨折并记录至列表，同时自动标记颈椎、腰椎、胸椎椎间盘，并支持多组椎间盘批处理重建。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0B71EB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7F4EA7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D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3347AEEB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D8C0D49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齿科</w:t>
            </w:r>
            <w:r>
              <w:rPr>
                <w:rFonts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AEFCB8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26C894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7731325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61EC2D6D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齿科全景图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齿科剖面图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8D5B5B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657DA1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3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98B2AED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DF6F530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能谱</w:t>
            </w:r>
            <w:r>
              <w:rPr>
                <w:rFonts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成像及高级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A92D79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387B895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2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29E1D21F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38841D9E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具备能谱扫描与重建技术，单圈能谱轴位扫描范围≥16cm，提供虚拟单能量图像（40-190keV）、最佳CNR图像、混合增强图像、有效原子序数图像、电子密度图像，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≥6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种基物质对图像（均含工作站截图），并具备能谱去金属伪影、能谱曲线、直方图分析、散点图分析、图像融合（可设不同伪彩）、脂肪定量、水肿识别、脑出血/造影剂外渗鉴别、脑容积、肺结节分析、肺栓塞分析、骨密度测量、碘含量测量、低keV下肝脏门静脉优化显像、低keV下下肢动静脉优化显像及VRT显示功能。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2FCEA0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BF3F90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1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79AE6F4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8C3CB18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灌注成像</w:t>
            </w:r>
            <w:r>
              <w:rPr>
                <w:rFonts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分析算法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5ADF2C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6169B2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BA452F2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13650FA4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灌注扫描与图像重建技术，无需动床的最大灌注扫描范围≥16cm、灌注采样最短间隔时间≤1s及非等间隔采样功能，神经系统一站式成像（一次对比剂注射完成全脑血管、全脑4D血流成像、全脑动态灌注成像），提供脑部灌注分析软件包（卒中协议、肿瘤协议、头部运动校正、自动去骨分割、自动脑脊液分割、自动/手动动静脉点选择、血管抑制屏蔽、CBV/CBF/MTT/TTP/PS/Tmax等参数伪彩标记显示、自动计算感兴趣区面积/最大/最小/平均值、自动绘制时间密度曲线、自动生成中心线对称ROI及对称ROI对比统计分析、根据灌注参数阈值计算缺血半暗带与梗死/缺血区、不同程度滤波降噪）、自动计算ROI面积/最大/最小/平均值/标准差、自动绘制时间密度曲线、参数图像与解剖图像进行2D/3D融合显示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以及体部灌注分析软件包（肝脏/肺部/肿瘤/肾脏/胰腺/脾脏/子宫灌注协议、运动校正、自动/手动软组织分割、自动/手动肝动脉和门静脉选择、血管抑制屏蔽、BV/BF/HAP/PVP/HPI/PS/MTT/TTP等参数计算、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DF61D2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368D58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1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03772FF6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13、</w:t>
            </w: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0033CA21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心血管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成像及高级后处理软件包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160954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FBB099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7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40696770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371C17A9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心脏扫描与图像重建技术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心电门控技术及门控装置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床旁心电图显示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主控台心电图显示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单心动周期冠脉成像技术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单心动周期心功能成像技术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胸痛三联一站式成像技术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TAVI一站式成像技术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心脑联合一站式成像技术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前瞻式门控轴扫成像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心脏扫描自动时相技术，根据病人心率不同自动选择曝光时相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回顾式螺旋扫描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心脏扫描自动螺距技术，根据病人心率不同自动选择螺距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自动心律不齐检测和曝光调整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ECG自动管电流调制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图像预览功能，依据某一解剖层面重建0-100%时相数据，挑选最佳时相进行全心脏图像重建，事先无需重建全心脏数据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最佳时相自动重建功能，心脏扫描结束后自动重建最佳舒张期、收缩期图像，无需人为选择期相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冠脉运动伪影校正技术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针对房颤、室早等不同心律不齐，提供心电编辑软件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提供 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900CE4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3824746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7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591098C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13.1.1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671425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具备无心电门控心脏扫描技术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具备异常心率自适应功能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具备早搏跳过功能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提供（提供操作控制台截图）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5F762E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3DF8D0D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1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0A89F95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5C347D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心血管高级后处理软件包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冠脉分析支持多期相数据加载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心脏自动分割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腔室自动分割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冠脉自动分割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中心线自动提取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中心线自动命名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中心线编辑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区域增长（血管，软组织）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单点冠脉半自动提取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多点冠脉半自动提取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D26CEC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94E53F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E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C50AA88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13.2.1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286716E6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手动编辑：裁剪、橡皮擦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狭窄近端远端距离测量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管径轮廓编辑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狭窄参数计算（直径、截面积、长度、狭窄程度）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斑块半自动提取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斑块成分分析（钙化、纤维、脂质）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斑块结果编辑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斑块参数统计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虚拟血管内超声显示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心功能分析支持多期相数据加载及查看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瓣膜快速定位（二尖瓣，三尖瓣，主动脉瓣）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腔室结果编辑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长短轴编辑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84BCBA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909D97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3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408B41A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13.2.2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5EE600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支持心室参数计算：包括左右心室ED/ES容积，每搏净流量，射血分数，心输出量，心脏指数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支持心房参数计算：包括左右心房容积，总排空体积，被动排空容积，主动排空容积，总排空分数，主动排空分数，被动排空分数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F738C4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AA2E91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7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1FB299A6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13.2.3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9F1B0E1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自动标记心肌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牛眼图显示室壁运动位移、厚度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电影播放心脏多时相运动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标记并以伪彩区分钙化点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钙化点修改，支持用户确认或重命名钙化点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支持钙化点增加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以质量积分计算钙化积分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以agatston积分计算钙化积分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以体积积分计算钙化积分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2555D9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73BF3C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9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6EE6D0C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13.2.4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583575D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支持快速保存功能，用户可以一键式的将冠脉VR MPR等截图按预设进行保存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高级后处理结果一键发送到结构化报告：提供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894D71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80881C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0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34BAAB43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14、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09D3F2A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灌注成像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1A357B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054FEFC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9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39A47841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DE929DF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灌注扫描与图像重建技术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无需动床的最大灌注扫描范围≥16cm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灌注采样最短间隔时间≤1s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灌注非等间隔采样功能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支持神经系统一站式成像，一次对比剂注射，可以完成全脑血管、全脑4D血流成像、全脑动态灌注成像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9EDD1D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3C4F87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9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34716DF7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14.1.1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3200D2E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脑部灌注分析软件包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卒中协议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肿瘤协议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头部运动校正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自动去骨分割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自动脑脊液分割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自动动静脉点选择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同时支持手动选取动静脉点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血管抑制屏蔽不参与计算的血管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支持自动计算感兴趣区的面积、最大值、最小值、平均值参数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自动绘制感兴趣区的时间密度曲线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自动生成中心线对称的ROI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对称ROI对比统计分析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根据灌注参数阈值的缺血半暗带，梗死和缺血区计算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不同程度滤波调节，可对噪声较大的图像进行降噪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25F996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D58683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14AB23CE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14.1.2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3F1FBEE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头部灌注参数：支持CBV、CBF、MTT、TTP、PS、Tmax、等参数计算，并以伪彩标记显示（提供工作站截图）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E825D5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D1C2F1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F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1ED0FD33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57AF626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体灌注分析软件包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肝脏灌注分析协议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肺部灌注分析协议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肿瘤灌注分析协议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肾脏灌注分析协议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胰腺灌注分析协议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脾脏灌注分析协议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子宫灌注分析协议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运动校正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自动/手动软组织分割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自动肝动脉和门静脉选择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同时支持手动定义肝动脉和门静脉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血管抑制屏蔽不参与计算的血管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支持自动计算ROI的面积、最大值、最小值、平均值和标准差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自动绘制感兴趣区的时间密度曲线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将参数图像和解剖图像进行3D 或2D 融合，直观显示灌注参数和解剖功能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44664B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17F473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E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23220BED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14.2.1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E3EF51B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体部灌注分析参数： 支持BV、BF、HAP、PVP、HPI、PS、MTT、TTP等参数计算（提供工作站截图）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D1E3BA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D5DEF0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0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58EA77C1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15、</w:t>
            </w: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45D31046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4D动态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成像及高级后处理软件包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9C9EF1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45AA74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1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2429784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ABC9065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动态扫描与图像重建技术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摇篮床动态扫描最大范围≥40cm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动态扫描非等间隔采样功能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70kV动态成像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5A9DAE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30DA813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D44F7A0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81CC203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4D动态分析软件包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多期相数据运动校正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选择多时刻点进行数据融合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动态数据电影播放功能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自动绘制感兴趣区的时间密度曲线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自动头部去骨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自动体部去骨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动静脉自动分离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支持通过区域生长编辑血管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35C72B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93E1BC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3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4DBE1885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087017AE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能谱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成像及高级后处理软件包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F7F947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D73C07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0FA2D3D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BC426A1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单圈能谱轴位扫描范围：≥16cm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CF9B59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72239E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8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F048BEF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87A5B99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虚拟单能量图像（40-190keV）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能谱扫描与重建技术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最佳CNR图像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混合增强图像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有效原子序数图像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电子密度图像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E7B019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0DA91B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4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751583D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16.3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0D4C048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基物质对图像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具备6种（提供工作站截图）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E9A14D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5C353F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A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B7BAD21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DDF5412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水-碘基物质对图像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水-钙基物质对图像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钙-碘基物质对图像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尿酸-钙基物质对图像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水-HAP基物质对图像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0D4F7D0D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肝脂基物质对图像：具备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（提供工作站截图）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928CC4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5A36D2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4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866AEC4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E168E11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能谱去金属伪影功能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能谱曲线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直方图分析工具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散点图分析工具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图像融合：将不同的功能图像进行融合显示，可设置不同的伪彩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脂肪定量功能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水肿识别功能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脑出血/造影剂外渗鉴别功能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脑容积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肺结节分析功能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肺栓塞分析功能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骨密度测量功能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碘含量测量功能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低keV下肝脏门静脉优化显像功能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低keV下肢动脉/下肢静脉优化显像功能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VRT显示功能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以上具备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A58092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3DB221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9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391FFE67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</w:t>
            </w: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190601BB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体部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血管分析高级后处理软件包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650D33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5A39AF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C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F54686E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71E99358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体部血管一键提取，无需平扫数据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泌尿系统一键提取（输尿管、膀胱、尿道）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探针手动去骨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支持通过多点追踪、管径轮廓编辑、血管/骨区域生长对血管进行编辑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中心线自动提取、中心线追踪、中心线编辑、显示/隐藏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支持对血管狭窄异常进行手动标记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支持狭窄程度计算：参考面选取、面积、直径、狭窄率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支持血管多参数计算：长度、直径、面积、角度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一键式结构化报告，可将计算结果、截图直接发送至报告：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1B1A5E4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F80BC6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0E52337E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</w:t>
            </w: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37BE2AC1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结肠分析</w:t>
            </w:r>
            <w:r>
              <w:rPr>
                <w:rFonts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07E804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B344C7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E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22E0647B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56642A7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自动结肠分割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自动中心线提取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一键小肠隐藏，仅显示结肠结构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自动息肉检测和分割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可使用手动标记工具对可疑息肉进行标记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分割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腔内漫游功能，可对结肠内窥视图进行漫游，以发现可疑的息肉组织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多视图显示功能，可在结肠展开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视图、MPR 图像、腔内视图、全VR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图像上查看分割后的息肉组织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以上具备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EAA4FE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FB048A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F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1FBA708E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3DFCEACA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支持电子清肠：具备自动清除残留造影剂的</w:t>
            </w: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AEF063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0A2AF1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E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4ABE1FBC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18.3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4D0FD2F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提供息肉参数信息：体积、长短径，CT值，距离肛门距离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35CB560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8F5265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A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77C87552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</w:t>
            </w:r>
          </w:p>
        </w:tc>
        <w:tc>
          <w:tcPr>
            <w:tcW w:w="4677" w:type="dxa"/>
            <w:shd w:val="clear" w:color="auto" w:fill="D9E2F3" w:themeFill="accent5" w:themeFillTint="33"/>
            <w:vAlign w:val="top"/>
          </w:tcPr>
          <w:p w14:paraId="452DB793">
            <w:pPr>
              <w:snapToGrid w:val="0"/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肺结节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分析高级后处理软件包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710355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3E5E18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A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1E677EA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3502FC62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肺结节自动检测和分割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支持不同类型结节的提取：实性结节、磨玻璃结节、混合性结节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结节轮廓线可编辑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自动测量结节直径、体积、CT值等参数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自动计算结节中不同密度成分占比并以图文形式展示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支持同一患者在不同时间段的两个序列的图像比较，同步翻页阅片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支持结节传递：随访数据的结节半自动分割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支持评估结节的变化曲线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以上具备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2031C9C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968C49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0851C654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544BAF72">
            <w:pPr>
              <w:snapToGrid w:val="0"/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肝脏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评估高级后处理软件包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7E7EE2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4633383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4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2BE72B6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F8A18D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平扫期、动脉期、门脉期、延时期多期相数据同时加载、同步浏览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自动肝脏分割提取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自动血管分割提取（肝动脉、门静脉、肝静脉）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病灶支持半自动分割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43A53B7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357A45C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4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7A220CF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FA19991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提供VOI、区域生长等手动工具进行自定义组织提取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F385DD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EFF82A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D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60405F25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20.3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5C7A03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肝段分割模板≥6种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最多支持肝段分割数量≥8段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0696AA6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653CA0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2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34BF142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A953D52">
            <w:pPr>
              <w:snapToGrid w:val="0"/>
              <w:rPr>
                <w:rFonts w:hint="eastAsia"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骨结构</w:t>
            </w:r>
            <w:r>
              <w:rPr>
                <w:rFonts w:ascii="微软雅黑" w:hAnsi="微软雅黑" w:eastAsia="微软雅黑" w:cs="Arial"/>
                <w:b w:val="0"/>
                <w:bCs w:val="0"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评估高级后处理软件包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D33CC0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2DC51CB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0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39053F7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46327A7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自动肋骨提取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自动肋骨标记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自动肋骨3D显示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自动单肋骨CPR显示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自动多肋骨CPR显示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F644C3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810457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B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F941C91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12CC176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支持手动肋骨骨折标记并记录至列表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支持自动椎间盘标记，包含颈椎、腰椎、胸椎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支持多组椎间盘批处理重建同时进行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6B3CBB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605C5F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1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667B9453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6685EE9A">
            <w:pPr>
              <w:snapToGrid w:val="0"/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齿科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后处理软件包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1646B8C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53D4027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C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02E4BD77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 w14:paraId="4CAA210A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齿科全景图：齿科剖面图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41103E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062D182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2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  <w:vAlign w:val="top"/>
          </w:tcPr>
          <w:p w14:paraId="62EC7E32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default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456B3D5C">
            <w:pPr>
              <w:snapToGrid w:val="0"/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肿瘤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评估高级</w:t>
            </w:r>
            <w:r>
              <w:rPr>
                <w:rFonts w:hint="eastAsia"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后处理</w:t>
            </w:r>
            <w:r>
              <w:rPr>
                <w:rFonts w:ascii="微软雅黑" w:hAnsi="微软雅黑" w:eastAsia="微软雅黑" w:cs="Arial"/>
                <w:b w:val="0"/>
                <w:bCs/>
                <w:color w:val="000000" w:themeColor="text1"/>
                <w:kern w:val="24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软件包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5665A73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2DEB40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0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7381DC21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0A2328A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可同时加载的随访检查时间点数≥8个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711BD0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0DD5B63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3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8928142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110944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自定义任意时间点之间对比显示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不同时间点图像之间的自动配准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半自动肺结节分割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半自动肝脏肿瘤分割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半自动淋巴结分割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通过编辑轮廓线修正肿瘤大小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4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在单个时间点上标记的病灶可一键匹配、传播到其他时间点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30449B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5D6A7C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9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4BAE6B24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23.3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580549D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提供全面的肿瘤统计参数：体积、长径、短径、倍增时间、CT值和变化率等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通过曲线、表格查看肿瘤的体积和大小的变化趋势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60FC0D8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14559EA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E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auto"/>
            <w:vAlign w:val="top"/>
          </w:tcPr>
          <w:p w14:paraId="5693CAA3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23.4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176F553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RECIST标准评估肿瘤情况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RECIST 1.1标准评估肿瘤情况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以上具有</w:t>
            </w:r>
          </w:p>
        </w:tc>
        <w:tc>
          <w:tcPr>
            <w:tcW w:w="987" w:type="dxa"/>
            <w:shd w:val="clear" w:color="auto" w:fill="auto"/>
            <w:vAlign w:val="top"/>
          </w:tcPr>
          <w:p w14:paraId="74833D8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607114F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8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0D6B3C7C">
            <w:pPr>
              <w:pStyle w:val="11"/>
              <w:numPr>
                <w:ilvl w:val="0"/>
                <w:numId w:val="0"/>
              </w:numPr>
              <w:snapToGrid w:val="0"/>
              <w:ind w:left="420" w:leftChars="0"/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6C402A94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数据采集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</w:tr>
      <w:tr w14:paraId="2B66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58A80D3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4677" w:type="dxa"/>
          </w:tcPr>
          <w:p w14:paraId="6AE2812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基本要求：单源等距探测器物理排数≥256排且必须具备深度学习图像降噪功能；双源探测器排数≥2×96排且搭载Fast 3D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amera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；立体双层探测器≥2×128排且水平床移动速度≥6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s（以上需提供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NMPA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注册证附件证明）</w:t>
            </w:r>
          </w:p>
        </w:tc>
        <w:tc>
          <w:tcPr>
            <w:tcW w:w="987" w:type="dxa"/>
          </w:tcPr>
          <w:p w14:paraId="2A56F63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95BCAA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D34A0C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669859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探测器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：光子探测器或宝石探测器或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镨黄金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探测器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或时空探测器</w:t>
            </w:r>
          </w:p>
        </w:tc>
        <w:tc>
          <w:tcPr>
            <w:tcW w:w="987" w:type="dxa"/>
          </w:tcPr>
          <w:p w14:paraId="22D6A50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94F9D8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9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E2806D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84375480"/>
          </w:p>
        </w:tc>
        <w:tc>
          <w:tcPr>
            <w:tcW w:w="4677" w:type="dxa"/>
          </w:tcPr>
          <w:p w14:paraId="070788F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单圈轴位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扫描最大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层数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≥512层，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或具备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两套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采集系统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≥192层x2</w:t>
            </w:r>
          </w:p>
        </w:tc>
        <w:tc>
          <w:tcPr>
            <w:tcW w:w="987" w:type="dxa"/>
          </w:tcPr>
          <w:p w14:paraId="014907D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252391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0E36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112C5F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124DEF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探测器Z轴总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覆盖宽度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（等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中心处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）≥16cm</w:t>
            </w:r>
          </w:p>
        </w:tc>
        <w:tc>
          <w:tcPr>
            <w:tcW w:w="987" w:type="dxa"/>
          </w:tcPr>
          <w:p w14:paraId="643DEA5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BE0165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0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6B9F5E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0AB7FDA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探测器Z轴排列：具备等距探测器排列技术</w:t>
            </w:r>
          </w:p>
        </w:tc>
        <w:tc>
          <w:tcPr>
            <w:tcW w:w="987" w:type="dxa"/>
          </w:tcPr>
          <w:p w14:paraId="0422DEA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B76F7B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B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BDE192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C2229E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具备等距探测器排列且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每排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实际最小个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890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87" w:type="dxa"/>
          </w:tcPr>
          <w:p w14:paraId="1EF39F2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DB0EC4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9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83A48E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5D87016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探测器物理单元总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0000个</w:t>
            </w:r>
          </w:p>
        </w:tc>
        <w:tc>
          <w:tcPr>
            <w:tcW w:w="987" w:type="dxa"/>
          </w:tcPr>
          <w:p w14:paraId="4CC7581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162A2A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6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3FE7C67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B0B831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探测器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单元最小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像素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（探测器Z轴覆盖总宽度/探测器排数）≤0.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987" w:type="dxa"/>
          </w:tcPr>
          <w:p w14:paraId="03C59FB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7B276D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7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214EF3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9869AE9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采样率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（View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圈）≥4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view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/圈</w:t>
            </w:r>
          </w:p>
        </w:tc>
        <w:tc>
          <w:tcPr>
            <w:tcW w:w="987" w:type="dxa"/>
          </w:tcPr>
          <w:p w14:paraId="2F8288D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CA6E82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1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9EF5C0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CC6981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探测器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散射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光子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≤9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87" w:type="dxa"/>
          </w:tcPr>
          <w:p w14:paraId="58BBA71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6D648E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1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4CA688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4DB935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具备3D防散射栅格</w:t>
            </w:r>
          </w:p>
        </w:tc>
        <w:tc>
          <w:tcPr>
            <w:tcW w:w="987" w:type="dxa"/>
          </w:tcPr>
          <w:p w14:paraId="66F8560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41FFC8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F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3DA123B8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04669C18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X线球管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和高压</w:t>
            </w: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发生器系统</w:t>
            </w:r>
          </w:p>
        </w:tc>
      </w:tr>
      <w:tr w14:paraId="30AA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E215201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1175952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球管等效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热容量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MHU</w:t>
            </w:r>
          </w:p>
        </w:tc>
        <w:tc>
          <w:tcPr>
            <w:tcW w:w="987" w:type="dxa"/>
          </w:tcPr>
          <w:p w14:paraId="16B96BE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58B90F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2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A65A42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4A1B003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球管阳极最大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散热率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≥16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kHU/min</w:t>
            </w:r>
          </w:p>
        </w:tc>
        <w:tc>
          <w:tcPr>
            <w:tcW w:w="987" w:type="dxa"/>
          </w:tcPr>
          <w:p w14:paraId="54D583C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B75387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9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D637B3E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B9CAEE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焦点个数≥3</w:t>
            </w:r>
          </w:p>
        </w:tc>
        <w:tc>
          <w:tcPr>
            <w:tcW w:w="987" w:type="dxa"/>
          </w:tcPr>
          <w:p w14:paraId="4447AB5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3A2191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7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EC06B39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7BD4E6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最小焦点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≤0.4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mm x 0.8mm</w:t>
            </w:r>
          </w:p>
        </w:tc>
        <w:tc>
          <w:tcPr>
            <w:tcW w:w="987" w:type="dxa"/>
          </w:tcPr>
          <w:p w14:paraId="00ABE98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888164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C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486FAA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F2886C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最大焦点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≤1.1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mm x 1.2mm</w:t>
            </w:r>
          </w:p>
        </w:tc>
        <w:tc>
          <w:tcPr>
            <w:tcW w:w="987" w:type="dxa"/>
          </w:tcPr>
          <w:p w14:paraId="0526E2D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5CDD66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5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C738531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DE1096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*高压发生器最大实际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非等效）：单源等距探测器排数：单源等距探测器排数256排≤排数＜320排且高压发生器功率≥101kW或单源等距探测器排数≥320排且高压发生器功率≥100kW或双源探测器≥96排×2且高压发生器功率≥120kW或立体双层探测器≥128排×2且高压发生器功率≥120kW</w:t>
            </w:r>
            <w:bookmarkStart w:id="1" w:name="OLE_LINK6"/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（提供N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注册证附件证明）</w:t>
            </w:r>
            <w:bookmarkEnd w:id="1"/>
          </w:p>
        </w:tc>
        <w:tc>
          <w:tcPr>
            <w:tcW w:w="987" w:type="dxa"/>
          </w:tcPr>
          <w:p w14:paraId="18667D8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51D5BC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9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3507B0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552154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输出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管电流≤10mA</w:t>
            </w:r>
          </w:p>
        </w:tc>
        <w:tc>
          <w:tcPr>
            <w:tcW w:w="987" w:type="dxa"/>
          </w:tcPr>
          <w:p w14:paraId="5208BF8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75C622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5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337B07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FC12166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输出管电流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（不含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等效概念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）≥8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mA</w:t>
            </w:r>
          </w:p>
        </w:tc>
        <w:tc>
          <w:tcPr>
            <w:tcW w:w="987" w:type="dxa"/>
          </w:tcPr>
          <w:p w14:paraId="63BB732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87194B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1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9AB168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71BB08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管电流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步进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≤1mA</w:t>
            </w:r>
          </w:p>
        </w:tc>
        <w:tc>
          <w:tcPr>
            <w:tcW w:w="987" w:type="dxa"/>
          </w:tcPr>
          <w:p w14:paraId="2B148E6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5A621A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7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2A7D5E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02D3F6B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最长连续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曝光时间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≥1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0s</w:t>
            </w:r>
          </w:p>
        </w:tc>
        <w:tc>
          <w:tcPr>
            <w:tcW w:w="987" w:type="dxa"/>
          </w:tcPr>
          <w:p w14:paraId="467B6C6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CE19A7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E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1ECC619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F464474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管电压≤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0kV</w:t>
            </w:r>
          </w:p>
        </w:tc>
        <w:tc>
          <w:tcPr>
            <w:tcW w:w="987" w:type="dxa"/>
          </w:tcPr>
          <w:p w14:paraId="225184D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02D57F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7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7AFF087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8859F8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管电压≥140kV</w:t>
            </w:r>
          </w:p>
        </w:tc>
        <w:tc>
          <w:tcPr>
            <w:tcW w:w="987" w:type="dxa"/>
          </w:tcPr>
          <w:p w14:paraId="1A039DC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FBDF5D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A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49E32E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EA0E3A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管电压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可选档数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≥6档</w:t>
            </w:r>
          </w:p>
        </w:tc>
        <w:tc>
          <w:tcPr>
            <w:tcW w:w="987" w:type="dxa"/>
          </w:tcPr>
          <w:p w14:paraId="3F39887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36D20F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8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2812269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10DBE6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具备X轴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方向飞焦点</w:t>
            </w:r>
          </w:p>
        </w:tc>
        <w:tc>
          <w:tcPr>
            <w:tcW w:w="987" w:type="dxa"/>
          </w:tcPr>
          <w:p w14:paraId="271A0DB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CC47CF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C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EC2063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EC50AF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球管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使用液态金属轴承技术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（提供N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注册证附件证明）</w:t>
            </w:r>
          </w:p>
        </w:tc>
        <w:tc>
          <w:tcPr>
            <w:tcW w:w="987" w:type="dxa"/>
          </w:tcPr>
          <w:p w14:paraId="1196753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DC49DD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3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211FF3D5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6445B969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扫描机架</w:t>
            </w:r>
          </w:p>
        </w:tc>
      </w:tr>
      <w:tr w14:paraId="3795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6D75FF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812FE2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机架物理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最快转速（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等效）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≤0.25s/圈</w:t>
            </w:r>
          </w:p>
        </w:tc>
        <w:tc>
          <w:tcPr>
            <w:tcW w:w="987" w:type="dxa"/>
          </w:tcPr>
          <w:p w14:paraId="4B30BAE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1A09B4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9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C6E3DF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BBD455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机架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孔径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80cm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（提供N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注册证附件证明）</w:t>
            </w:r>
          </w:p>
        </w:tc>
        <w:tc>
          <w:tcPr>
            <w:tcW w:w="987" w:type="dxa"/>
          </w:tcPr>
          <w:p w14:paraId="66BA4E8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A68542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4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C838BD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AED7B6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机架物理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倾斜角度（非数字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倾角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≥±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°</w:t>
            </w:r>
          </w:p>
        </w:tc>
        <w:tc>
          <w:tcPr>
            <w:tcW w:w="987" w:type="dxa"/>
          </w:tcPr>
          <w:p w14:paraId="480BB92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52A59E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5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5BF885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BD0108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焦点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到探测器距离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≥110cm</w:t>
            </w:r>
          </w:p>
        </w:tc>
        <w:tc>
          <w:tcPr>
            <w:tcW w:w="987" w:type="dxa"/>
          </w:tcPr>
          <w:p w14:paraId="2A089A4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EA9319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B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10E6E0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254433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焦点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到等中心点距离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≥60cm</w:t>
            </w:r>
          </w:p>
        </w:tc>
        <w:tc>
          <w:tcPr>
            <w:tcW w:w="987" w:type="dxa"/>
          </w:tcPr>
          <w:p w14:paraId="1161E7D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53B3FC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C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B805EB2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7B6788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机架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冷却方式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风冷或水冷</w:t>
            </w:r>
          </w:p>
        </w:tc>
        <w:tc>
          <w:tcPr>
            <w:tcW w:w="987" w:type="dxa"/>
          </w:tcPr>
          <w:p w14:paraId="417A524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416BDE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B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27E249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23ABFA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床旁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提供患者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扫描床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位置、扫描时间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显示</w:t>
            </w:r>
          </w:p>
        </w:tc>
        <w:tc>
          <w:tcPr>
            <w:tcW w:w="987" w:type="dxa"/>
          </w:tcPr>
          <w:p w14:paraId="3AB7B7E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5EF102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F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0C7665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C19DB9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机架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控制面板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987" w:type="dxa"/>
          </w:tcPr>
          <w:p w14:paraId="14B6C16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CB776D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8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4D66C1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977193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语音呼吸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导航系统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987" w:type="dxa"/>
          </w:tcPr>
          <w:p w14:paraId="57B9191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29E0DB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C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47FC71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9DFAAF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视觉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呼吸导航系统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987" w:type="dxa"/>
          </w:tcPr>
          <w:p w14:paraId="2CF8D4D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566D27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C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16788F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D4DCED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内外激光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定位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灯：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987" w:type="dxa"/>
          </w:tcPr>
          <w:p w14:paraId="2414DBB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FEF67A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5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153AD06A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7CE3B204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扫描床</w:t>
            </w:r>
          </w:p>
        </w:tc>
      </w:tr>
      <w:tr w14:paraId="1F1E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EF86272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7EC6BDC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最大水平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移动范围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0cm</w:t>
            </w:r>
          </w:p>
        </w:tc>
        <w:tc>
          <w:tcPr>
            <w:tcW w:w="987" w:type="dxa"/>
          </w:tcPr>
          <w:p w14:paraId="6721D6A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ACAC23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5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36C70E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A6349E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螺旋可扫描范围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≥200cm</w:t>
            </w:r>
          </w:p>
        </w:tc>
        <w:tc>
          <w:tcPr>
            <w:tcW w:w="987" w:type="dxa"/>
          </w:tcPr>
          <w:p w14:paraId="1D164D6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8E981D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A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3DA6C07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A08D48D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水平移床速度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0mm/s</w:t>
            </w:r>
          </w:p>
        </w:tc>
        <w:tc>
          <w:tcPr>
            <w:tcW w:w="987" w:type="dxa"/>
          </w:tcPr>
          <w:p w14:paraId="3475A42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00780B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E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885225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DEF2682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垂直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升降最低位置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987" w:type="dxa"/>
          </w:tcPr>
          <w:p w14:paraId="279301A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14BDE1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5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2D0177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20889F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垂直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升降最高位置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≥95cm</w:t>
            </w:r>
          </w:p>
        </w:tc>
        <w:tc>
          <w:tcPr>
            <w:tcW w:w="987" w:type="dxa"/>
          </w:tcPr>
          <w:p w14:paraId="5CBEA6F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9F198F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6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B056F6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B39769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垂直升降速度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≥5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mm/s</w:t>
            </w:r>
          </w:p>
        </w:tc>
        <w:tc>
          <w:tcPr>
            <w:tcW w:w="987" w:type="dxa"/>
          </w:tcPr>
          <w:p w14:paraId="48680DD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4507D9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DC3444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CB247E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定位精度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≤±0.25mm</w:t>
            </w:r>
          </w:p>
        </w:tc>
        <w:tc>
          <w:tcPr>
            <w:tcW w:w="987" w:type="dxa"/>
          </w:tcPr>
          <w:p w14:paraId="27C6C5F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54986E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D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C804AF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89A9CC8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最大承重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987" w:type="dxa"/>
          </w:tcPr>
          <w:p w14:paraId="08377B1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90CF59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3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A9419C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2E7301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床控制脚踏开关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4310809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24B2B9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E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13E166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F57D70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一体化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扫描床点滴架，方便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打点滴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患者的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CT检查：提供</w:t>
            </w:r>
          </w:p>
        </w:tc>
        <w:tc>
          <w:tcPr>
            <w:tcW w:w="987" w:type="dxa"/>
          </w:tcPr>
          <w:p w14:paraId="1328612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0BB054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A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4069C6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FB289F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一体化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扫描床托盘架，方便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患者随身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物品放置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A62F8E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7D78B1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7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2722F3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1912BB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一体化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扫描床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纸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床单架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FA8400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B2BB78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96043C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5EAE0F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一体化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生理信号门控单元，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无需外接心电监测设备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0ED2BD7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17ECAA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A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6201303C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3AB524AD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扫描导航系统</w:t>
            </w:r>
          </w:p>
        </w:tc>
      </w:tr>
      <w:tr w14:paraId="2A9C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4E8C15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CA3CB9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摄像采集系统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：具备</w:t>
            </w:r>
          </w:p>
        </w:tc>
        <w:tc>
          <w:tcPr>
            <w:tcW w:w="987" w:type="dxa"/>
          </w:tcPr>
          <w:p w14:paraId="5D324ED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8B9B43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D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A743B9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15E32A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自动等中心定位技术：具备</w:t>
            </w:r>
          </w:p>
        </w:tc>
        <w:tc>
          <w:tcPr>
            <w:tcW w:w="987" w:type="dxa"/>
          </w:tcPr>
          <w:p w14:paraId="5020401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868397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A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F956C3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D61BFC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全身智能识别定位点：≥18个（提供操作控制台截图）</w:t>
            </w:r>
          </w:p>
        </w:tc>
        <w:tc>
          <w:tcPr>
            <w:tcW w:w="987" w:type="dxa"/>
          </w:tcPr>
          <w:p w14:paraId="5E40654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BD5705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9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C18D42E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BAB745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智能定位技术：具备头部、颈部、胸部、腹部、脊柱、上肢、下肢、盆腔等部位自动识别（提供操作控制台截图）</w:t>
            </w:r>
          </w:p>
        </w:tc>
        <w:tc>
          <w:tcPr>
            <w:tcW w:w="987" w:type="dxa"/>
          </w:tcPr>
          <w:p w14:paraId="3909D04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A990B2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2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67C6B21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02AE80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上床后可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智能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识别全身位置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987" w:type="dxa"/>
          </w:tcPr>
          <w:p w14:paraId="54DA7C9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3153C1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9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638484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1BE337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可识别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患者体位种类≥8种</w:t>
            </w:r>
          </w:p>
        </w:tc>
        <w:tc>
          <w:tcPr>
            <w:tcW w:w="987" w:type="dxa"/>
          </w:tcPr>
          <w:p w14:paraId="5577D90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823791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B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6D8F23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A34842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具备智能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追踪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，患者移动时，可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自动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追踪识别新的患者全身位置</w:t>
            </w:r>
          </w:p>
        </w:tc>
        <w:tc>
          <w:tcPr>
            <w:tcW w:w="987" w:type="dxa"/>
          </w:tcPr>
          <w:p w14:paraId="1608095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E49FCC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A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CFB6F9E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0C43F9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具备智能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摆位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功能，可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根据扫描协议和患者位置，自动设置进床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987" w:type="dxa"/>
          </w:tcPr>
          <w:p w14:paraId="315F547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1F36CE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B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2DD3231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A7FC46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具备智能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等中心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功能，可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根据扫描协议和患者位置，自动设置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床高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以符合扫描等中心高度</w:t>
            </w:r>
          </w:p>
        </w:tc>
        <w:tc>
          <w:tcPr>
            <w:tcW w:w="987" w:type="dxa"/>
          </w:tcPr>
          <w:p w14:paraId="5EEACDD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1D7823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D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B64A041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B5EDD4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具备看护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扫描中可实时观察患者情况</w:t>
            </w:r>
          </w:p>
        </w:tc>
        <w:tc>
          <w:tcPr>
            <w:tcW w:w="987" w:type="dxa"/>
          </w:tcPr>
          <w:p w14:paraId="73EBB21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CF1609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8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53D93F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79EF8B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具备智能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扫描计划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，可根据扫描协议和定位像，自动设置扫描起始位置、扫描角度和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FOV</w:t>
            </w:r>
          </w:p>
        </w:tc>
        <w:tc>
          <w:tcPr>
            <w:tcW w:w="987" w:type="dxa"/>
          </w:tcPr>
          <w:p w14:paraId="3A6311E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418076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3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D7F8F6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6AAF9A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协议选择优化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可根据使用频率优化扫描协议排序，将最常用的扫描协议排序至顶端，方便技师选择</w:t>
            </w:r>
          </w:p>
        </w:tc>
        <w:tc>
          <w:tcPr>
            <w:tcW w:w="987" w:type="dxa"/>
          </w:tcPr>
          <w:p w14:paraId="3D578F8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B52715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0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4BE77FDA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60526468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主控制台及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重建计算机系统</w:t>
            </w:r>
          </w:p>
        </w:tc>
      </w:tr>
      <w:tr w14:paraId="5987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40935F8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F9C5D7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主控台计算机C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PU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≥4核</w:t>
            </w:r>
          </w:p>
        </w:tc>
        <w:tc>
          <w:tcPr>
            <w:tcW w:w="987" w:type="dxa"/>
          </w:tcPr>
          <w:p w14:paraId="365C9C0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F824FD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4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A29B481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7F2017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主控台计算机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内存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987" w:type="dxa"/>
          </w:tcPr>
          <w:p w14:paraId="64615F3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3366A3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8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E22566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7E6FC7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主控台硬盘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容量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1TB</w:t>
            </w:r>
          </w:p>
        </w:tc>
        <w:tc>
          <w:tcPr>
            <w:tcW w:w="987" w:type="dxa"/>
          </w:tcPr>
          <w:p w14:paraId="03BFFC6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0B5B34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9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3DC567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1F09D3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主控台图像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存储量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（512x512矩阵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，非压缩图像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,000,000幅</w:t>
            </w:r>
          </w:p>
        </w:tc>
        <w:tc>
          <w:tcPr>
            <w:tcW w:w="987" w:type="dxa"/>
          </w:tcPr>
          <w:p w14:paraId="234C5C3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F5FFB5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9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5FCD02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743602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主控台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计算机操作系统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：Windows 7或Windows 10</w:t>
            </w:r>
          </w:p>
        </w:tc>
        <w:tc>
          <w:tcPr>
            <w:tcW w:w="987" w:type="dxa"/>
          </w:tcPr>
          <w:p w14:paraId="5A11A8D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A7ABD2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2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4471C8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67A969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计算机CPU≥8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</w:tc>
        <w:tc>
          <w:tcPr>
            <w:tcW w:w="987" w:type="dxa"/>
          </w:tcPr>
          <w:p w14:paraId="76D126B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4E216D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B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0A074C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C35241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计算机内存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987" w:type="dxa"/>
          </w:tcPr>
          <w:p w14:paraId="7DA5D7D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181680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8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C0ACCD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7B6737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重建计算机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硬盘容量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1TB</w:t>
            </w:r>
          </w:p>
        </w:tc>
        <w:tc>
          <w:tcPr>
            <w:tcW w:w="987" w:type="dxa"/>
          </w:tcPr>
          <w:p w14:paraId="45B20EE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8BCAFB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B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6DDBE3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916188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支持CD/DVD读取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和刻录</w:t>
            </w:r>
          </w:p>
        </w:tc>
        <w:tc>
          <w:tcPr>
            <w:tcW w:w="987" w:type="dxa"/>
          </w:tcPr>
          <w:p w14:paraId="0AE68E8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AE7F63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7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9D6AE9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4B7BA6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USB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外置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硬盘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接口</w:t>
            </w:r>
          </w:p>
        </w:tc>
        <w:tc>
          <w:tcPr>
            <w:tcW w:w="987" w:type="dxa"/>
          </w:tcPr>
          <w:p w14:paraId="3B74E73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BFF29D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8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523C1D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98A4D8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提供DICOM 3.0接口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支持DICOM 格式数据的传输、接收、打印、归档、查询</w:t>
            </w:r>
          </w:p>
        </w:tc>
        <w:tc>
          <w:tcPr>
            <w:tcW w:w="987" w:type="dxa"/>
          </w:tcPr>
          <w:p w14:paraId="721138B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63725E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7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7FC8B7A6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0EAA7FC9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扫描和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重建参数</w:t>
            </w:r>
          </w:p>
        </w:tc>
      </w:tr>
      <w:tr w14:paraId="3FF9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D8C18C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061DD7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单圈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轴扫最大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Z轴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覆盖范围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≥16cm</w:t>
            </w:r>
          </w:p>
        </w:tc>
        <w:tc>
          <w:tcPr>
            <w:tcW w:w="987" w:type="dxa"/>
          </w:tcPr>
          <w:p w14:paraId="0C1AAA0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29E3B3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8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AB49A3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89B049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单圈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轴扫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采集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层数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≥512层</w:t>
            </w:r>
          </w:p>
        </w:tc>
        <w:tc>
          <w:tcPr>
            <w:tcW w:w="987" w:type="dxa"/>
          </w:tcPr>
          <w:p w14:paraId="31A87DD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10C5B4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A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D6B87D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111F39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轴扫最快扫描速度（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360°，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非等效）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≤0.2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987" w:type="dxa"/>
          </w:tcPr>
          <w:p w14:paraId="2046808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81C7A0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F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E49F6C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DC7AD5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螺旋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扫描最大Z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轴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准直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覆盖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范围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cm（提供操作控制台截图）</w:t>
            </w:r>
          </w:p>
        </w:tc>
        <w:tc>
          <w:tcPr>
            <w:tcW w:w="987" w:type="dxa"/>
          </w:tcPr>
          <w:p w14:paraId="27D41C4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200FB7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8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63AE54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293DEE1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单次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螺旋连续扫描时间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0s</w:t>
            </w:r>
          </w:p>
        </w:tc>
        <w:tc>
          <w:tcPr>
            <w:tcW w:w="987" w:type="dxa"/>
          </w:tcPr>
          <w:p w14:paraId="1CD0C09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208EFC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36B0FD8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1ED2F32">
            <w:pPr>
              <w:snapToGrid w:val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螺旋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螺距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87" w:type="dxa"/>
          </w:tcPr>
          <w:p w14:paraId="18ACC4C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E20BDC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029CFE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A94759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螺旋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扫描最快扫描速度（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360°，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非等效）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≤0.2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987" w:type="dxa"/>
          </w:tcPr>
          <w:p w14:paraId="395EA52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F61ACC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D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85FDEA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CBBE2B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提供轴扫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和螺旋融合扫描功能</w:t>
            </w:r>
          </w:p>
        </w:tc>
        <w:tc>
          <w:tcPr>
            <w:tcW w:w="987" w:type="dxa"/>
          </w:tcPr>
          <w:p w14:paraId="02679A3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DB2D4C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8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29E3D9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1E123B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提供门控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和非门控融合扫描功能</w:t>
            </w:r>
          </w:p>
        </w:tc>
        <w:tc>
          <w:tcPr>
            <w:tcW w:w="987" w:type="dxa"/>
          </w:tcPr>
          <w:p w14:paraId="43181EA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BED91E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B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841C26E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E23CD4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单圈轴位扫描最大采集层数模式下层厚：≤0.6mm（提供操作控制台截图）</w:t>
            </w:r>
          </w:p>
        </w:tc>
        <w:tc>
          <w:tcPr>
            <w:tcW w:w="987" w:type="dxa"/>
          </w:tcPr>
          <w:p w14:paraId="5738F78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B23B3D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8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A3DCB5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56BCC6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单圈螺旋扫描最大采集层数模式下层厚：≤0.6mm（提供操作控制台截图）</w:t>
            </w:r>
          </w:p>
        </w:tc>
        <w:tc>
          <w:tcPr>
            <w:tcW w:w="987" w:type="dxa"/>
          </w:tcPr>
          <w:p w14:paraId="2E58CCF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A356A0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6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4DF0BC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0C953D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FOV≥50cm</w:t>
            </w:r>
          </w:p>
        </w:tc>
        <w:tc>
          <w:tcPr>
            <w:tcW w:w="987" w:type="dxa"/>
          </w:tcPr>
          <w:p w14:paraId="1A4CED1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780D75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6A87729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F95512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双能量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扫描最大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FOV≥50cm</w:t>
            </w:r>
          </w:p>
        </w:tc>
        <w:tc>
          <w:tcPr>
            <w:tcW w:w="987" w:type="dxa"/>
          </w:tcPr>
          <w:p w14:paraId="20EBFBA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254D69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7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24DA98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6D6DBB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FOV范围≥50cm</w:t>
            </w:r>
          </w:p>
        </w:tc>
        <w:tc>
          <w:tcPr>
            <w:tcW w:w="987" w:type="dxa"/>
          </w:tcPr>
          <w:p w14:paraId="141A57F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0C1DDE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C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0D3D04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FB5B97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扩展重建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FOV≥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0cm</w:t>
            </w:r>
          </w:p>
        </w:tc>
        <w:tc>
          <w:tcPr>
            <w:tcW w:w="987" w:type="dxa"/>
          </w:tcPr>
          <w:p w14:paraId="7896DF4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6BB59B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E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9738AB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D57C71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最大图像重建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矩阵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≥1024x1024</w:t>
            </w:r>
          </w:p>
        </w:tc>
        <w:tc>
          <w:tcPr>
            <w:tcW w:w="987" w:type="dxa"/>
          </w:tcPr>
          <w:p w14:paraId="00C3771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5A0209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5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D9FDF2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858A60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最小CT值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扩展）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≤-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1000HU</w:t>
            </w:r>
          </w:p>
        </w:tc>
        <w:tc>
          <w:tcPr>
            <w:tcW w:w="987" w:type="dxa"/>
          </w:tcPr>
          <w:p w14:paraId="14809C8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8A69C1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6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982B3D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B5B2C01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最大CT值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扩展）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HU</w:t>
            </w:r>
          </w:p>
        </w:tc>
        <w:tc>
          <w:tcPr>
            <w:tcW w:w="987" w:type="dxa"/>
          </w:tcPr>
          <w:p w14:paraId="1D46928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CB5AE9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2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94DE16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826DEC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图像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重建速度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≥60幅/秒</w:t>
            </w:r>
          </w:p>
        </w:tc>
        <w:tc>
          <w:tcPr>
            <w:tcW w:w="987" w:type="dxa"/>
          </w:tcPr>
          <w:p w14:paraId="0A880D1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D2259C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C740C3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8E294B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具备宽体散射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伪影校正算法</w:t>
            </w:r>
          </w:p>
        </w:tc>
        <w:tc>
          <w:tcPr>
            <w:tcW w:w="987" w:type="dxa"/>
          </w:tcPr>
          <w:p w14:paraId="036723E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AAA21D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3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4506B2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C11CD4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具备宽体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锥束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算法</w:t>
            </w:r>
          </w:p>
        </w:tc>
        <w:tc>
          <w:tcPr>
            <w:tcW w:w="987" w:type="dxa"/>
          </w:tcPr>
          <w:p w14:paraId="7A7A596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A415E1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D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017672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9C54E5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具备智能冠脉时相推荐功能</w:t>
            </w:r>
          </w:p>
        </w:tc>
        <w:tc>
          <w:tcPr>
            <w:tcW w:w="987" w:type="dxa"/>
          </w:tcPr>
          <w:p w14:paraId="1C4C852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2C5F12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E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250E1DC7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26998489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图像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</w:tr>
      <w:tr w14:paraId="2F8A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9611D0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F487C1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X-Y平面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空间分辨率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MTF 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≥22lp/cm</w:t>
            </w:r>
          </w:p>
        </w:tc>
        <w:tc>
          <w:tcPr>
            <w:tcW w:w="987" w:type="dxa"/>
          </w:tcPr>
          <w:p w14:paraId="3931A2F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59F588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3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66DD5B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F45951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Z方向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空间分辨率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MTF 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≥20lp/cm</w:t>
            </w:r>
          </w:p>
        </w:tc>
        <w:tc>
          <w:tcPr>
            <w:tcW w:w="987" w:type="dxa"/>
          </w:tcPr>
          <w:p w14:paraId="7A16E20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AEB113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9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654749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EBA78F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低对比度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分辨率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2mm@0.3%≤2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mGy</w:t>
            </w:r>
          </w:p>
        </w:tc>
        <w:tc>
          <w:tcPr>
            <w:tcW w:w="987" w:type="dxa"/>
          </w:tcPr>
          <w:p w14:paraId="457F671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07C33C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4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62E9EBE5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4BF553F9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剂量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控制方案</w:t>
            </w:r>
          </w:p>
        </w:tc>
      </w:tr>
      <w:tr w14:paraId="1C93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7ED744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CF496A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剂量预估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BF6F07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552D85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7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224F0D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C0EBE1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结构化剂量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7501DC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A869E6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F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F6E3E5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4B9A95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剂量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监控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预警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0E56D8C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558D85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1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4E0AC7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B93656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实时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定位像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5BC8613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72A39A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B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82473F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0F7E60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3D智能管电流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调制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41D45C6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0002C2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63227A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E3D738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kV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低剂量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扫描模式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6A8D476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1E7525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25A7B71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361D97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kV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超低剂量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扫描模式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5A0AA0B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1C0051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3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2585C3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90A582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10mA肺部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超低剂量扫描技术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06867AC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F03221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1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8B109D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0FD69A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自动管电压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10D3B78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BE5288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0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EAA6C9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B23370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扫描部位和患者体型，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提供不同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FOV≥3种</w:t>
            </w:r>
          </w:p>
        </w:tc>
        <w:tc>
          <w:tcPr>
            <w:tcW w:w="987" w:type="dxa"/>
          </w:tcPr>
          <w:p w14:paraId="3C0F194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38E06E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F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C73F57E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A04971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出厂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儿童协议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456A3E7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838E8A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0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34D7B3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29B581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胸腹部智能剂量调制优化：提供</w:t>
            </w:r>
          </w:p>
        </w:tc>
        <w:tc>
          <w:tcPr>
            <w:tcW w:w="987" w:type="dxa"/>
          </w:tcPr>
          <w:p w14:paraId="2046669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5F5797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0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96A32E5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7CDFD3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ECG门控剂量调制技术：提供</w:t>
            </w:r>
          </w:p>
        </w:tc>
        <w:tc>
          <w:tcPr>
            <w:tcW w:w="987" w:type="dxa"/>
          </w:tcPr>
          <w:p w14:paraId="6027B89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A89B98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5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1678CC8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D3ED9D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Auto kV自动管电压推荐：提供</w:t>
            </w:r>
          </w:p>
        </w:tc>
        <w:tc>
          <w:tcPr>
            <w:tcW w:w="987" w:type="dxa"/>
          </w:tcPr>
          <w:p w14:paraId="66DAB03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A974AE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2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4B066A4A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6DFBBBAD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应用软件</w:t>
            </w:r>
          </w:p>
        </w:tc>
      </w:tr>
      <w:tr w14:paraId="0BE4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778C7F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25503F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多平面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MPR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1C1D2F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07B6A2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C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DC8E85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57E2981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最大密度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投影（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MIP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6C3F169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0ED8FA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585AA5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EDDC1B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最小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密度投影（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P）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67F24C3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2F7A4E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9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F142DD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48D0B2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曲面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CPR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498E4A1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155454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9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332A82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110537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容积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三维重建（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VR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29A0BE8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C49609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F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DE0E79D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4A4E30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区域生长：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225267F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FEB578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0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173DF7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0DB73A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表面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重建（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SSD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5CF31AA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C2D217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16F5CC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F2318A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多种容积三维重建模板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72889EB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137CA5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3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FA3B97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DFB8CA3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三维仿真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内窥镜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显示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07AEA38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59CB89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FBB8CF8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05B2D5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图像剪影功能：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2D280EE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011A4B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5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B03943E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CA3C34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电影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模式图像浏览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6E7C737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4D2F07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5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282FB3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4363D2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组织裁剪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50346B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350709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9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9B2CB0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2FB30C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随扫描曝光进行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实时MPR图像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预览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2D85D1F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2FCB70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9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71FE0F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6345704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随扫描曝光进行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实时VR图像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预览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156FB0B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F61D0E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C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2102B3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E04403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多期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增强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18E7E61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797B6A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F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AC2552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4EDE4D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CTA血管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造影技术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10CE736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1F1D69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D612EB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8243D2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CTU尿路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造影技术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46D110F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08AE08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E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45145C52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E16717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造影剂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自动跟踪技术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37413A1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4653FB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1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2B9A47F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3769CE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小剂量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团注跟踪测试技术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594C02B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C86D1B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A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581B6BB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85FF2A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脑出血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技术：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21AF683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5E1310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D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7E08E4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60E75D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脑容积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技术：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987" w:type="dxa"/>
          </w:tcPr>
          <w:p w14:paraId="7EC4F53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2768767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1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17224618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1DB12A7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提供超真实物理渲染技术</w:t>
            </w:r>
          </w:p>
        </w:tc>
        <w:tc>
          <w:tcPr>
            <w:tcW w:w="987" w:type="dxa"/>
          </w:tcPr>
          <w:p w14:paraId="6F72DB1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87B391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B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D59A344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480AA54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胸腹连扫剂量调制优化：具备在同一个kV下，使用不同的平均mAs完成一次胸腹连扫（提供操作控制台截图）</w:t>
            </w:r>
          </w:p>
        </w:tc>
        <w:tc>
          <w:tcPr>
            <w:tcW w:w="987" w:type="dxa"/>
          </w:tcPr>
          <w:p w14:paraId="0E04BF4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42C2B10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5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shd w:val="clear" w:color="auto" w:fill="D9E2F3" w:themeFill="accent5" w:themeFillTint="33"/>
          </w:tcPr>
          <w:p w14:paraId="3AC6DF89">
            <w:pPr>
              <w:pStyle w:val="11"/>
              <w:numPr>
                <w:ilvl w:val="0"/>
                <w:numId w:val="1"/>
              </w:numPr>
              <w:snapToGrid w:val="0"/>
              <w:ind w:left="845" w:leftChars="0" w:firstLineChars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5" w:type="dxa"/>
            <w:gridSpan w:val="3"/>
            <w:shd w:val="clear" w:color="auto" w:fill="D9E2F3" w:themeFill="accent5" w:themeFillTint="33"/>
          </w:tcPr>
          <w:p w14:paraId="0FEA50AA">
            <w:pPr>
              <w:snapToGrid w:val="0"/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原厂图像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后处理工作站</w:t>
            </w:r>
          </w:p>
        </w:tc>
      </w:tr>
      <w:tr w14:paraId="0187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64099C3A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05264B8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*提供原厂原装服务器架构工作站，由服务器端软件和客户端软件构成（工作站和CT主机为同一制造商，提供N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官网注册证信息截图及链接，注明服务器及客户端架构）</w:t>
            </w:r>
          </w:p>
        </w:tc>
        <w:tc>
          <w:tcPr>
            <w:tcW w:w="987" w:type="dxa"/>
          </w:tcPr>
          <w:p w14:paraId="6422BEB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1C502DC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7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B793D83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36C4183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计算机CPU≥2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</w:tc>
        <w:tc>
          <w:tcPr>
            <w:tcW w:w="987" w:type="dxa"/>
          </w:tcPr>
          <w:p w14:paraId="01B966E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3A36C7F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B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81D3F86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6A27769E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计算机内存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987" w:type="dxa"/>
          </w:tcPr>
          <w:p w14:paraId="1833635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CAD1795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9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FD2B4F0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213601F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硬盘容量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TB</w:t>
            </w:r>
          </w:p>
        </w:tc>
        <w:tc>
          <w:tcPr>
            <w:tcW w:w="987" w:type="dxa"/>
          </w:tcPr>
          <w:p w14:paraId="2E72C3C6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BBAD76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3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5C4E2DC">
            <w:pPr>
              <w:pStyle w:val="11"/>
              <w:numPr>
                <w:ilvl w:val="1"/>
                <w:numId w:val="1"/>
              </w:numPr>
              <w:snapToGrid w:val="0"/>
              <w:ind w:firstLineChars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</w:tcPr>
          <w:p w14:paraId="751084FA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操作</w:t>
            </w:r>
            <w:r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：Windows 10</w:t>
            </w:r>
          </w:p>
        </w:tc>
        <w:tc>
          <w:tcPr>
            <w:tcW w:w="987" w:type="dxa"/>
          </w:tcPr>
          <w:p w14:paraId="50E98059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3AEC3B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4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top"/>
          </w:tcPr>
          <w:p w14:paraId="4F3E606D">
            <w:pPr>
              <w:pStyle w:val="11"/>
              <w:numPr>
                <w:ilvl w:val="0"/>
                <w:numId w:val="1"/>
              </w:numPr>
              <w:snapToGrid w:val="0"/>
              <w:ind w:left="845" w:leftChars="0" w:hanging="425" w:firstLine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7" w:type="dxa"/>
            <w:vAlign w:val="top"/>
          </w:tcPr>
          <w:p w14:paraId="2AD1F348">
            <w:pPr>
              <w:snapToGrid w:val="0"/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原厂图像</w:t>
            </w:r>
            <w:r>
              <w:rPr>
                <w:rFonts w:ascii="微软雅黑" w:hAnsi="微软雅黑" w:eastAsia="微软雅黑" w:cs="Times New Roman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后处理工作站</w:t>
            </w:r>
          </w:p>
        </w:tc>
        <w:tc>
          <w:tcPr>
            <w:tcW w:w="987" w:type="dxa"/>
          </w:tcPr>
          <w:p w14:paraId="58487C82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4703BF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0CC58ADD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4677" w:type="dxa"/>
            <w:vAlign w:val="center"/>
          </w:tcPr>
          <w:p w14:paraId="4E67E41B">
            <w:pPr>
              <w:snapToGrid w:val="0"/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高压注射器</w:t>
            </w:r>
          </w:p>
        </w:tc>
        <w:tc>
          <w:tcPr>
            <w:tcW w:w="987" w:type="dxa"/>
          </w:tcPr>
          <w:p w14:paraId="6BC93CF5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</w:tcPr>
          <w:p w14:paraId="4371907B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D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7D22E367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4677" w:type="dxa"/>
            <w:vAlign w:val="center"/>
          </w:tcPr>
          <w:p w14:paraId="51F9E386">
            <w:pPr>
              <w:snapToGrid w:val="0"/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双有创监护仪</w:t>
            </w:r>
          </w:p>
        </w:tc>
        <w:tc>
          <w:tcPr>
            <w:tcW w:w="987" w:type="dxa"/>
          </w:tcPr>
          <w:p w14:paraId="45337B9D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</w:tcPr>
          <w:p w14:paraId="07C2D50D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3FBC9802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</w:t>
            </w:r>
          </w:p>
        </w:tc>
        <w:tc>
          <w:tcPr>
            <w:tcW w:w="4677" w:type="dxa"/>
            <w:vAlign w:val="center"/>
          </w:tcPr>
          <w:p w14:paraId="2B39D433">
            <w:pPr>
              <w:snapToGrid w:val="0"/>
              <w:rPr>
                <w:rFonts w:hint="default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4M医用显示屏</w:t>
            </w:r>
          </w:p>
        </w:tc>
        <w:tc>
          <w:tcPr>
            <w:tcW w:w="987" w:type="dxa"/>
          </w:tcPr>
          <w:p w14:paraId="77926E82">
            <w:pPr>
              <w:snapToGrid w:val="0"/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</w:tcPr>
          <w:p w14:paraId="0CE49E48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E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</w:tcPr>
          <w:p w14:paraId="5D0B71E6"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4677" w:type="dxa"/>
            <w:vAlign w:val="center"/>
          </w:tcPr>
          <w:p w14:paraId="5E25989B">
            <w:pPr>
              <w:snapToGrid w:val="0"/>
              <w:rPr>
                <w:rFonts w:hint="default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影像工作站</w:t>
            </w:r>
          </w:p>
        </w:tc>
        <w:tc>
          <w:tcPr>
            <w:tcW w:w="987" w:type="dxa"/>
          </w:tcPr>
          <w:p w14:paraId="2A5CA12B">
            <w:pPr>
              <w:snapToGrid w:val="0"/>
              <w:rPr>
                <w:rFonts w:hint="default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851" w:type="dxa"/>
          </w:tcPr>
          <w:p w14:paraId="0567E051">
            <w:pPr>
              <w:snapToGrid w:val="0"/>
              <w:rPr>
                <w:rFonts w:ascii="微软雅黑" w:hAnsi="微软雅黑" w:eastAsia="微软雅黑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D1EF10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D0F45"/>
    <w:multiLevelType w:val="multilevel"/>
    <w:tmpl w:val="6E7D0F45"/>
    <w:lvl w:ilvl="0" w:tentative="0">
      <w:start w:val="1"/>
      <w:numFmt w:val="decimal"/>
      <w:lvlText w:val="%1."/>
      <w:lvlJc w:val="left"/>
      <w:pPr>
        <w:ind w:left="84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18"/>
    <w:rsid w:val="0000524B"/>
    <w:rsid w:val="000163EC"/>
    <w:rsid w:val="0002351B"/>
    <w:rsid w:val="00026F38"/>
    <w:rsid w:val="000556A9"/>
    <w:rsid w:val="000A092B"/>
    <w:rsid w:val="000C7D5A"/>
    <w:rsid w:val="000D47FD"/>
    <w:rsid w:val="000E1DC6"/>
    <w:rsid w:val="00100E8D"/>
    <w:rsid w:val="00103707"/>
    <w:rsid w:val="00140F97"/>
    <w:rsid w:val="00143F46"/>
    <w:rsid w:val="001702CD"/>
    <w:rsid w:val="0018202E"/>
    <w:rsid w:val="00190C90"/>
    <w:rsid w:val="001A3164"/>
    <w:rsid w:val="001E0B51"/>
    <w:rsid w:val="00220F6D"/>
    <w:rsid w:val="00226DA9"/>
    <w:rsid w:val="00275FD9"/>
    <w:rsid w:val="00283538"/>
    <w:rsid w:val="002851BD"/>
    <w:rsid w:val="00294750"/>
    <w:rsid w:val="002C1707"/>
    <w:rsid w:val="002D3387"/>
    <w:rsid w:val="002E1670"/>
    <w:rsid w:val="002E3F09"/>
    <w:rsid w:val="003045EF"/>
    <w:rsid w:val="00331FAB"/>
    <w:rsid w:val="0034421B"/>
    <w:rsid w:val="00382607"/>
    <w:rsid w:val="003A2DAB"/>
    <w:rsid w:val="003B4B8D"/>
    <w:rsid w:val="003E558F"/>
    <w:rsid w:val="00417C18"/>
    <w:rsid w:val="0042746D"/>
    <w:rsid w:val="004509B0"/>
    <w:rsid w:val="0047086A"/>
    <w:rsid w:val="00472D4E"/>
    <w:rsid w:val="00473A61"/>
    <w:rsid w:val="004966CB"/>
    <w:rsid w:val="004B338E"/>
    <w:rsid w:val="004D2D8F"/>
    <w:rsid w:val="004F5367"/>
    <w:rsid w:val="00533D4D"/>
    <w:rsid w:val="00537CE1"/>
    <w:rsid w:val="005B2AA2"/>
    <w:rsid w:val="005D234F"/>
    <w:rsid w:val="005F117E"/>
    <w:rsid w:val="00601D95"/>
    <w:rsid w:val="0060271D"/>
    <w:rsid w:val="00634FB8"/>
    <w:rsid w:val="006427BF"/>
    <w:rsid w:val="006456E4"/>
    <w:rsid w:val="006625C9"/>
    <w:rsid w:val="00664EE9"/>
    <w:rsid w:val="00667E29"/>
    <w:rsid w:val="00677011"/>
    <w:rsid w:val="00681B81"/>
    <w:rsid w:val="006B481C"/>
    <w:rsid w:val="006B49AA"/>
    <w:rsid w:val="006E70CE"/>
    <w:rsid w:val="006F33D3"/>
    <w:rsid w:val="00727169"/>
    <w:rsid w:val="00733EC7"/>
    <w:rsid w:val="0073626C"/>
    <w:rsid w:val="00755366"/>
    <w:rsid w:val="00792290"/>
    <w:rsid w:val="007931B0"/>
    <w:rsid w:val="007C2881"/>
    <w:rsid w:val="007C5434"/>
    <w:rsid w:val="007D19CA"/>
    <w:rsid w:val="007D4375"/>
    <w:rsid w:val="007F0AE4"/>
    <w:rsid w:val="008045AB"/>
    <w:rsid w:val="0080688B"/>
    <w:rsid w:val="00806CBF"/>
    <w:rsid w:val="00821AE1"/>
    <w:rsid w:val="00853652"/>
    <w:rsid w:val="00857C98"/>
    <w:rsid w:val="00860C42"/>
    <w:rsid w:val="00872D99"/>
    <w:rsid w:val="008731FB"/>
    <w:rsid w:val="00880C31"/>
    <w:rsid w:val="00886B59"/>
    <w:rsid w:val="008903A5"/>
    <w:rsid w:val="008931CA"/>
    <w:rsid w:val="008A19E0"/>
    <w:rsid w:val="008A25C8"/>
    <w:rsid w:val="008B15BC"/>
    <w:rsid w:val="008B2FDE"/>
    <w:rsid w:val="008B3CE9"/>
    <w:rsid w:val="008B4BCD"/>
    <w:rsid w:val="008D384B"/>
    <w:rsid w:val="008D6EB4"/>
    <w:rsid w:val="008F36B6"/>
    <w:rsid w:val="00907557"/>
    <w:rsid w:val="00912C7E"/>
    <w:rsid w:val="00916418"/>
    <w:rsid w:val="00931BAE"/>
    <w:rsid w:val="009336E0"/>
    <w:rsid w:val="00950519"/>
    <w:rsid w:val="00980BD8"/>
    <w:rsid w:val="00997064"/>
    <w:rsid w:val="009B0169"/>
    <w:rsid w:val="009B3AD4"/>
    <w:rsid w:val="009C21C2"/>
    <w:rsid w:val="009E181E"/>
    <w:rsid w:val="009E2015"/>
    <w:rsid w:val="009F1992"/>
    <w:rsid w:val="00A056D8"/>
    <w:rsid w:val="00A13A4F"/>
    <w:rsid w:val="00A154A5"/>
    <w:rsid w:val="00A428F3"/>
    <w:rsid w:val="00A42D7F"/>
    <w:rsid w:val="00A669D0"/>
    <w:rsid w:val="00A75715"/>
    <w:rsid w:val="00A93090"/>
    <w:rsid w:val="00A9698B"/>
    <w:rsid w:val="00AC10E9"/>
    <w:rsid w:val="00AD6A5D"/>
    <w:rsid w:val="00AE0F98"/>
    <w:rsid w:val="00AF05F8"/>
    <w:rsid w:val="00AF7DC8"/>
    <w:rsid w:val="00B2750D"/>
    <w:rsid w:val="00B42FF8"/>
    <w:rsid w:val="00B5707A"/>
    <w:rsid w:val="00B608AA"/>
    <w:rsid w:val="00B76D49"/>
    <w:rsid w:val="00BB58E8"/>
    <w:rsid w:val="00BD3574"/>
    <w:rsid w:val="00BE683E"/>
    <w:rsid w:val="00BF5D35"/>
    <w:rsid w:val="00C15FDD"/>
    <w:rsid w:val="00C40054"/>
    <w:rsid w:val="00C57A13"/>
    <w:rsid w:val="00C61834"/>
    <w:rsid w:val="00C61AE8"/>
    <w:rsid w:val="00C71006"/>
    <w:rsid w:val="00C81B96"/>
    <w:rsid w:val="00C832AA"/>
    <w:rsid w:val="00CB0803"/>
    <w:rsid w:val="00CC0C30"/>
    <w:rsid w:val="00CF15ED"/>
    <w:rsid w:val="00CF1DDD"/>
    <w:rsid w:val="00CF32AE"/>
    <w:rsid w:val="00CF50E9"/>
    <w:rsid w:val="00CF538A"/>
    <w:rsid w:val="00CF7594"/>
    <w:rsid w:val="00DB7157"/>
    <w:rsid w:val="00DD664E"/>
    <w:rsid w:val="00DD7E5B"/>
    <w:rsid w:val="00DE12BE"/>
    <w:rsid w:val="00DE502B"/>
    <w:rsid w:val="00DF49C4"/>
    <w:rsid w:val="00E0200E"/>
    <w:rsid w:val="00E07DAD"/>
    <w:rsid w:val="00E36B8F"/>
    <w:rsid w:val="00E37CB0"/>
    <w:rsid w:val="00E473BA"/>
    <w:rsid w:val="00E65BD8"/>
    <w:rsid w:val="00EA6126"/>
    <w:rsid w:val="00EB391A"/>
    <w:rsid w:val="00EE07A7"/>
    <w:rsid w:val="00EF0835"/>
    <w:rsid w:val="00F317A0"/>
    <w:rsid w:val="00F37BF2"/>
    <w:rsid w:val="00F70EEF"/>
    <w:rsid w:val="00F85E42"/>
    <w:rsid w:val="00FA64D3"/>
    <w:rsid w:val="00FA6D66"/>
    <w:rsid w:val="00FC269F"/>
    <w:rsid w:val="00FE3280"/>
    <w:rsid w:val="048E20C1"/>
    <w:rsid w:val="09E57489"/>
    <w:rsid w:val="0B156206"/>
    <w:rsid w:val="1A9468C2"/>
    <w:rsid w:val="1AD5775F"/>
    <w:rsid w:val="1B756886"/>
    <w:rsid w:val="2FC66A34"/>
    <w:rsid w:val="3A06128C"/>
    <w:rsid w:val="4E281379"/>
    <w:rsid w:val="503A0EC3"/>
    <w:rsid w:val="51E455B9"/>
    <w:rsid w:val="529D3A7F"/>
    <w:rsid w:val="557B4484"/>
    <w:rsid w:val="5E9B5016"/>
    <w:rsid w:val="61265BEC"/>
    <w:rsid w:val="6D765805"/>
    <w:rsid w:val="728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ind w:left="720"/>
      <w:jc w:val="left"/>
    </w:pPr>
    <w:rPr>
      <w:rFonts w:ascii="Calibri" w:hAnsi="Calibri" w:eastAsia="宋体" w:cs="宋体"/>
      <w:kern w:val="0"/>
      <w:sz w:val="2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E088-A9FC-4EE8-A3F5-FC67982DE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6022</Words>
  <Characters>6552</Characters>
  <Lines>63</Lines>
  <Paragraphs>17</Paragraphs>
  <TotalTime>162</TotalTime>
  <ScaleCrop>false</ScaleCrop>
  <LinksUpToDate>false</LinksUpToDate>
  <CharactersWithSpaces>6571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2025-05-28T07:17:00Z</dcterms:created>
  <dc:creator>Lenovo</dc:creator>
  <cp:lastModifiedBy>WPS_1641723798</cp:lastModifiedBy>
  <dcterms:modified xsi:type="dcterms:W3CDTF">2026-07-17T04:07:39Z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eyJoZGlkIjoiYjI4Y2I1NzE1OGQ5MzY2MzEzYjZlNGUyMjQ0MDJmYzIiLCJ1c2VySWQiOiIxMzEzNTM2MDYzIn0=</vt:lpwstr>
  </property>
  <property fmtid="{D5CDD505-2E9C-101B-9397-08002B2CF9AE}" pid="3" name="KSOProductBuildVer">
    <vt:lpwstr>2052-12.1.0.26895</vt:lpwstr>
  </property>
  <property fmtid="{D5CDD505-2E9C-101B-9397-08002B2CF9AE}" pid="4" name="ICV">
    <vt:lpwstr>C9BA70CFEFFD4FA0ADB0AAF41789354E_13</vt:lpwstr>
  </property>
</Properties>
</file>