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0D314">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865"/>
        <w:gridCol w:w="1090"/>
      </w:tblGrid>
      <w:tr w14:paraId="5CE9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995" w:type="dxa"/>
            <w:gridSpan w:val="3"/>
            <w:tcBorders>
              <w:top w:val="nil"/>
              <w:left w:val="nil"/>
              <w:right w:val="nil"/>
            </w:tcBorders>
            <w:noWrap w:val="0"/>
            <w:vAlign w:val="center"/>
          </w:tcPr>
          <w:p w14:paraId="4B5F3A44">
            <w:pPr>
              <w:widowControl/>
              <w:adjustRightInd w:val="0"/>
              <w:snapToGrid w:val="0"/>
              <w:spacing w:line="240" w:lineRule="atLeast"/>
              <w:jc w:val="center"/>
              <w:rPr>
                <w:rFonts w:hint="eastAsia" w:ascii="宋体" w:hAnsi="宋体" w:eastAsia="宋体" w:cs="宋体"/>
                <w:b/>
                <w:bCs/>
                <w:kern w:val="0"/>
                <w:sz w:val="21"/>
                <w:szCs w:val="21"/>
                <w:lang w:eastAsia="zh-CN"/>
              </w:rPr>
            </w:pPr>
            <w:bookmarkStart w:id="0" w:name="_GoBack"/>
            <w:r>
              <w:rPr>
                <w:rFonts w:hint="eastAsia" w:ascii="宋体" w:hAnsi="宋体" w:eastAsia="宋体" w:cs="宋体"/>
                <w:b/>
                <w:bCs/>
                <w:kern w:val="0"/>
                <w:sz w:val="28"/>
                <w:szCs w:val="28"/>
              </w:rPr>
              <w:t>等离子双极电切电凝系统</w:t>
            </w:r>
            <w:bookmarkEnd w:id="0"/>
          </w:p>
        </w:tc>
      </w:tr>
      <w:tr w14:paraId="4DF0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BFF1B47">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65" w:type="dxa"/>
            <w:tcBorders>
              <w:tl2br w:val="nil"/>
              <w:tr2bl w:val="nil"/>
            </w:tcBorders>
            <w:noWrap w:val="0"/>
            <w:vAlign w:val="center"/>
          </w:tcPr>
          <w:p w14:paraId="6933374B">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90" w:type="dxa"/>
            <w:tcBorders>
              <w:tl2br w:val="nil"/>
              <w:tr2bl w:val="nil"/>
            </w:tcBorders>
            <w:noWrap w:val="0"/>
            <w:vAlign w:val="center"/>
          </w:tcPr>
          <w:p w14:paraId="0DBFF27F">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D87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1873EF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787F4FF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90" w:type="dxa"/>
            <w:tcBorders>
              <w:tl2br w:val="nil"/>
              <w:tr2bl w:val="nil"/>
            </w:tcBorders>
            <w:noWrap w:val="0"/>
            <w:vAlign w:val="center"/>
          </w:tcPr>
          <w:p w14:paraId="36A04F7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41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420EED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4B5FF42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090" w:type="dxa"/>
            <w:tcBorders>
              <w:tl2br w:val="nil"/>
              <w:tr2bl w:val="nil"/>
            </w:tcBorders>
            <w:noWrap w:val="0"/>
            <w:vAlign w:val="center"/>
          </w:tcPr>
          <w:p w14:paraId="675771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4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E013D4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3706D38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090" w:type="dxa"/>
            <w:tcBorders>
              <w:tl2br w:val="nil"/>
              <w:tr2bl w:val="nil"/>
            </w:tcBorders>
            <w:noWrap w:val="0"/>
            <w:vAlign w:val="center"/>
          </w:tcPr>
          <w:p w14:paraId="78D855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67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8E54B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6F9360C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90" w:type="dxa"/>
            <w:tcBorders>
              <w:tl2br w:val="nil"/>
              <w:tr2bl w:val="nil"/>
            </w:tcBorders>
            <w:noWrap w:val="0"/>
            <w:vAlign w:val="center"/>
          </w:tcPr>
          <w:p w14:paraId="5FA518A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7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23B7CC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3395DD2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90" w:type="dxa"/>
            <w:tcBorders>
              <w:tl2br w:val="nil"/>
              <w:tr2bl w:val="nil"/>
            </w:tcBorders>
            <w:noWrap w:val="0"/>
            <w:vAlign w:val="center"/>
          </w:tcPr>
          <w:p w14:paraId="6FB2A33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9A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954E07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106D372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90" w:type="dxa"/>
            <w:tcBorders>
              <w:tl2br w:val="nil"/>
              <w:tr2bl w:val="nil"/>
            </w:tcBorders>
            <w:noWrap w:val="0"/>
            <w:vAlign w:val="center"/>
          </w:tcPr>
          <w:p w14:paraId="01DE79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DF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28BFCFC">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865" w:type="dxa"/>
            <w:tcBorders>
              <w:bottom w:val="single" w:color="auto" w:sz="4" w:space="0"/>
              <w:tl2br w:val="nil"/>
              <w:tr2bl w:val="nil"/>
            </w:tcBorders>
            <w:noWrap w:val="0"/>
            <w:vAlign w:val="center"/>
          </w:tcPr>
          <w:p w14:paraId="74529497">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090" w:type="dxa"/>
            <w:tcBorders>
              <w:tl2br w:val="nil"/>
              <w:tr2bl w:val="nil"/>
            </w:tcBorders>
            <w:noWrap w:val="0"/>
            <w:vAlign w:val="center"/>
          </w:tcPr>
          <w:p w14:paraId="469436A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74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A2AD5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65" w:type="dxa"/>
            <w:tcBorders>
              <w:top w:val="nil"/>
              <w:tl2br w:val="nil"/>
              <w:tr2bl w:val="nil"/>
            </w:tcBorders>
            <w:noWrap w:val="0"/>
            <w:vAlign w:val="center"/>
          </w:tcPr>
          <w:p w14:paraId="18F2C5A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090" w:type="dxa"/>
            <w:tcBorders>
              <w:tl2br w:val="nil"/>
              <w:tr2bl w:val="nil"/>
            </w:tcBorders>
            <w:noWrap w:val="0"/>
            <w:vAlign w:val="center"/>
          </w:tcPr>
          <w:p w14:paraId="59F46383">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1套</w:t>
            </w:r>
          </w:p>
        </w:tc>
      </w:tr>
      <w:tr w14:paraId="2550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E739D14">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65" w:type="dxa"/>
            <w:tcBorders>
              <w:tl2br w:val="nil"/>
              <w:tr2bl w:val="nil"/>
            </w:tcBorders>
            <w:noWrap w:val="0"/>
            <w:vAlign w:val="center"/>
          </w:tcPr>
          <w:p w14:paraId="04547FDF">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90" w:type="dxa"/>
            <w:tcBorders>
              <w:tl2br w:val="nil"/>
              <w:tr2bl w:val="nil"/>
            </w:tcBorders>
            <w:noWrap w:val="0"/>
            <w:vAlign w:val="center"/>
          </w:tcPr>
          <w:p w14:paraId="13581EB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C40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751AB7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6F5C531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额定输出频率≥350KHz，切割模式下额定负载150Ω±10Ω,最大输出功率 ≥200W</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凝血模式下额定负载100Ω±10Ω最大输出功率≥100 W</w:t>
            </w:r>
          </w:p>
        </w:tc>
        <w:tc>
          <w:tcPr>
            <w:tcW w:w="1090" w:type="dxa"/>
            <w:tcBorders>
              <w:tl2br w:val="nil"/>
              <w:tr2bl w:val="nil"/>
            </w:tcBorders>
            <w:noWrap w:val="0"/>
            <w:vAlign w:val="center"/>
          </w:tcPr>
          <w:p w14:paraId="75A9372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23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1BD8C4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1927831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液晶屏可同时显示：动态阻抗、电极状态和切凝的模式、功率等图形、字母和数字</w:t>
            </w:r>
          </w:p>
        </w:tc>
        <w:tc>
          <w:tcPr>
            <w:tcW w:w="1090" w:type="dxa"/>
            <w:tcBorders>
              <w:tl2br w:val="nil"/>
              <w:tr2bl w:val="nil"/>
            </w:tcBorders>
            <w:noWrap w:val="0"/>
            <w:vAlign w:val="center"/>
          </w:tcPr>
          <w:p w14:paraId="0ADC51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9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DAC953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5E2B583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具有自动识别不同代码(不同功能)双极电极的功能，并自动设定切割模式或凝固模式输出的默认功率，无需手调，并可增减与显示</w:t>
            </w:r>
          </w:p>
        </w:tc>
        <w:tc>
          <w:tcPr>
            <w:tcW w:w="1090" w:type="dxa"/>
            <w:tcBorders>
              <w:tl2br w:val="nil"/>
              <w:tr2bl w:val="nil"/>
            </w:tcBorders>
            <w:noWrap w:val="0"/>
            <w:vAlign w:val="center"/>
          </w:tcPr>
          <w:p w14:paraId="0AB051C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1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96D8EC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7E157B6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具有超负荷保护装置，当遇到过载时停止输出同时屏幕提示</w:t>
            </w:r>
          </w:p>
        </w:tc>
        <w:tc>
          <w:tcPr>
            <w:tcW w:w="1090" w:type="dxa"/>
            <w:tcBorders>
              <w:tl2br w:val="nil"/>
              <w:tr2bl w:val="nil"/>
            </w:tcBorders>
            <w:noWrap w:val="0"/>
            <w:vAlign w:val="center"/>
          </w:tcPr>
          <w:p w14:paraId="74AB05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DC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A6F1BF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0A093A1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具有凝血模式或切割模式手术时帮助判定组织效应</w:t>
            </w:r>
            <w:r>
              <w:rPr>
                <w:rFonts w:hint="eastAsia" w:ascii="宋体" w:hAnsi="宋体" w:eastAsia="宋体" w:cs="宋体"/>
                <w:color w:val="auto"/>
                <w:kern w:val="0"/>
                <w:sz w:val="21"/>
                <w:szCs w:val="21"/>
              </w:rPr>
              <w:t>的阻抗条图显示</w:t>
            </w:r>
          </w:p>
        </w:tc>
        <w:tc>
          <w:tcPr>
            <w:tcW w:w="1090" w:type="dxa"/>
            <w:tcBorders>
              <w:tl2br w:val="nil"/>
              <w:tr2bl w:val="nil"/>
            </w:tcBorders>
            <w:noWrap w:val="0"/>
            <w:vAlign w:val="center"/>
          </w:tcPr>
          <w:p w14:paraId="60EFDD9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82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BF4BB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7CC81DC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具有电极安装状态显</w:t>
            </w:r>
            <w:r>
              <w:rPr>
                <w:rFonts w:hint="eastAsia" w:ascii="宋体" w:hAnsi="宋体" w:eastAsia="宋体" w:cs="宋体"/>
                <w:color w:val="auto"/>
                <w:kern w:val="0"/>
                <w:sz w:val="21"/>
                <w:szCs w:val="21"/>
              </w:rPr>
              <w:t>示</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未接上电极时</w:t>
            </w:r>
            <w:r>
              <w:rPr>
                <w:rFonts w:hint="eastAsia" w:ascii="宋体" w:hAnsi="宋体" w:eastAsia="宋体" w:cs="宋体"/>
                <w:color w:val="auto"/>
                <w:kern w:val="0"/>
                <w:sz w:val="21"/>
                <w:szCs w:val="21"/>
                <w:lang w:val="en-US" w:eastAsia="zh-CN"/>
              </w:rPr>
              <w:t>设备有提示</w:t>
            </w:r>
          </w:p>
        </w:tc>
        <w:tc>
          <w:tcPr>
            <w:tcW w:w="1090" w:type="dxa"/>
            <w:tcBorders>
              <w:tl2br w:val="nil"/>
              <w:tr2bl w:val="nil"/>
            </w:tcBorders>
            <w:noWrap w:val="0"/>
            <w:vAlign w:val="center"/>
          </w:tcPr>
          <w:p w14:paraId="21E8D9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00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461FB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865" w:type="dxa"/>
            <w:tcBorders>
              <w:tl2br w:val="nil"/>
              <w:tr2bl w:val="nil"/>
            </w:tcBorders>
            <w:noWrap w:val="0"/>
            <w:vAlign w:val="center"/>
          </w:tcPr>
          <w:p w14:paraId="49AD0F72">
            <w:pPr>
              <w:widowControl/>
              <w:adjustRightInd w:val="0"/>
              <w:snapToGrid w:val="0"/>
              <w:spacing w:line="240" w:lineRule="atLeast"/>
              <w:jc w:val="left"/>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具有电切镜模式下盐水下组织切割与凝血功能；腹腔镜手术模式下腹腔镜手术和开放手术双极电切和电凝功能</w:t>
            </w:r>
          </w:p>
        </w:tc>
        <w:tc>
          <w:tcPr>
            <w:tcW w:w="1090" w:type="dxa"/>
            <w:tcBorders>
              <w:tl2br w:val="nil"/>
              <w:tr2bl w:val="nil"/>
            </w:tcBorders>
            <w:noWrap w:val="0"/>
            <w:vAlign w:val="center"/>
          </w:tcPr>
          <w:p w14:paraId="41442F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34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B07F3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65" w:type="dxa"/>
            <w:tcBorders>
              <w:tl2br w:val="nil"/>
              <w:tr2bl w:val="nil"/>
            </w:tcBorders>
            <w:noWrap w:val="0"/>
            <w:vAlign w:val="center"/>
          </w:tcPr>
          <w:p w14:paraId="5EAC2F5C">
            <w:pPr>
              <w:widowControl/>
              <w:adjustRightInd w:val="0"/>
              <w:snapToGrid w:val="0"/>
              <w:spacing w:line="240" w:lineRule="atLeast"/>
              <w:jc w:val="left"/>
              <w:rPr>
                <w:rFonts w:hint="eastAsia" w:ascii="宋体" w:hAnsi="宋体" w:eastAsia="宋体" w:cs="宋体"/>
                <w:kern w:val="0"/>
                <w:sz w:val="21"/>
                <w:szCs w:val="21"/>
                <w:lang w:val="en-US"/>
              </w:rPr>
            </w:pPr>
            <w:r>
              <w:rPr>
                <w:rFonts w:hint="eastAsia" w:ascii="宋体" w:hAnsi="宋体" w:eastAsia="宋体" w:cs="宋体"/>
                <w:kern w:val="0"/>
                <w:sz w:val="21"/>
                <w:szCs w:val="21"/>
              </w:rPr>
              <w:t>双极电极（双极环状电极）</w:t>
            </w:r>
            <w:r>
              <w:rPr>
                <w:rFonts w:hint="eastAsia" w:ascii="宋体" w:hAnsi="宋体" w:eastAsia="宋体" w:cs="宋体"/>
                <w:kern w:val="0"/>
                <w:sz w:val="21"/>
                <w:szCs w:val="21"/>
                <w:lang w:val="en-US" w:eastAsia="zh-CN"/>
              </w:rPr>
              <w:t>2支</w:t>
            </w:r>
          </w:p>
        </w:tc>
        <w:tc>
          <w:tcPr>
            <w:tcW w:w="1090" w:type="dxa"/>
            <w:tcBorders>
              <w:tl2br w:val="nil"/>
              <w:tr2bl w:val="nil"/>
            </w:tcBorders>
            <w:noWrap w:val="0"/>
            <w:vAlign w:val="center"/>
          </w:tcPr>
          <w:p w14:paraId="04C7839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AE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7F65E7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865" w:type="dxa"/>
            <w:tcBorders>
              <w:tl2br w:val="nil"/>
              <w:tr2bl w:val="nil"/>
            </w:tcBorders>
            <w:noWrap w:val="0"/>
            <w:vAlign w:val="center"/>
          </w:tcPr>
          <w:p w14:paraId="2BC3B91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电切内窥镜</w:t>
            </w:r>
          </w:p>
        </w:tc>
        <w:tc>
          <w:tcPr>
            <w:tcW w:w="1090" w:type="dxa"/>
            <w:tcBorders>
              <w:tl2br w:val="nil"/>
              <w:tr2bl w:val="nil"/>
            </w:tcBorders>
            <w:noWrap w:val="0"/>
            <w:vAlign w:val="center"/>
          </w:tcPr>
          <w:p w14:paraId="301B66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36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0BBE51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865" w:type="dxa"/>
            <w:tcBorders>
              <w:tl2br w:val="nil"/>
              <w:tr2bl w:val="nil"/>
            </w:tcBorders>
            <w:noWrap w:val="0"/>
            <w:vAlign w:val="center"/>
          </w:tcPr>
          <w:p w14:paraId="1620A3C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可连续进出水冲洗对流、与等离子主机为同一</w:t>
            </w:r>
            <w:r>
              <w:rPr>
                <w:rFonts w:hint="eastAsia" w:ascii="宋体" w:hAnsi="宋体" w:eastAsia="宋体" w:cs="宋体"/>
                <w:kern w:val="0"/>
                <w:sz w:val="21"/>
                <w:szCs w:val="21"/>
                <w:lang w:val="en-US" w:eastAsia="zh-CN"/>
              </w:rPr>
              <w:t>品牌</w:t>
            </w:r>
          </w:p>
        </w:tc>
        <w:tc>
          <w:tcPr>
            <w:tcW w:w="1090" w:type="dxa"/>
            <w:tcBorders>
              <w:tl2br w:val="nil"/>
              <w:tr2bl w:val="nil"/>
            </w:tcBorders>
            <w:noWrap w:val="0"/>
            <w:vAlign w:val="center"/>
          </w:tcPr>
          <w:p w14:paraId="3BB2D4B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95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2FD029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865" w:type="dxa"/>
            <w:tcBorders>
              <w:tl2br w:val="nil"/>
              <w:tr2bl w:val="nil"/>
            </w:tcBorders>
            <w:noWrap w:val="0"/>
            <w:vAlign w:val="center"/>
          </w:tcPr>
          <w:p w14:paraId="0056C1F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高清内窥镜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30°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4mm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可高温高压消毒</w:t>
            </w:r>
          </w:p>
        </w:tc>
        <w:tc>
          <w:tcPr>
            <w:tcW w:w="1090" w:type="dxa"/>
            <w:tcBorders>
              <w:tl2br w:val="nil"/>
              <w:tr2bl w:val="nil"/>
            </w:tcBorders>
            <w:noWrap w:val="0"/>
            <w:vAlign w:val="center"/>
          </w:tcPr>
          <w:p w14:paraId="1928F0F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4E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A42A6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865" w:type="dxa"/>
            <w:tcBorders>
              <w:tl2br w:val="nil"/>
              <w:tr2bl w:val="nil"/>
            </w:tcBorders>
            <w:noWrap w:val="0"/>
            <w:vAlign w:val="center"/>
          </w:tcPr>
          <w:p w14:paraId="53FA0DB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外鞘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26Fr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设置进、出水通道和控制开关，始终保持进出水垂直对流</w:t>
            </w:r>
          </w:p>
        </w:tc>
        <w:tc>
          <w:tcPr>
            <w:tcW w:w="1090" w:type="dxa"/>
            <w:tcBorders>
              <w:tl2br w:val="nil"/>
              <w:tr2bl w:val="nil"/>
            </w:tcBorders>
            <w:noWrap w:val="0"/>
            <w:vAlign w:val="center"/>
          </w:tcPr>
          <w:p w14:paraId="4AE759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84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3DC56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865" w:type="dxa"/>
            <w:tcBorders>
              <w:tl2br w:val="nil"/>
              <w:tr2bl w:val="nil"/>
            </w:tcBorders>
            <w:noWrap w:val="0"/>
            <w:vAlign w:val="center"/>
          </w:tcPr>
          <w:p w14:paraId="6B62BBF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24Fr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可360°旋转</w:t>
            </w:r>
          </w:p>
        </w:tc>
        <w:tc>
          <w:tcPr>
            <w:tcW w:w="1090" w:type="dxa"/>
            <w:tcBorders>
              <w:tl2br w:val="nil"/>
              <w:tr2bl w:val="nil"/>
            </w:tcBorders>
            <w:noWrap w:val="0"/>
            <w:vAlign w:val="center"/>
          </w:tcPr>
          <w:p w14:paraId="62B9EE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61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88664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865" w:type="dxa"/>
            <w:tcBorders>
              <w:tl2br w:val="nil"/>
              <w:tr2bl w:val="nil"/>
            </w:tcBorders>
            <w:noWrap w:val="0"/>
            <w:vAlign w:val="center"/>
          </w:tcPr>
          <w:p w14:paraId="41F64A7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内鞘进水接头，遇尿道狭窄时可配合内鞘实现腔内进水，实施单鞘手术</w:t>
            </w:r>
          </w:p>
        </w:tc>
        <w:tc>
          <w:tcPr>
            <w:tcW w:w="1090" w:type="dxa"/>
            <w:tcBorders>
              <w:tl2br w:val="nil"/>
              <w:tr2bl w:val="nil"/>
            </w:tcBorders>
            <w:noWrap w:val="0"/>
            <w:vAlign w:val="center"/>
          </w:tcPr>
          <w:p w14:paraId="046E35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EC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93556D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6865" w:type="dxa"/>
            <w:tcBorders>
              <w:tl2br w:val="nil"/>
              <w:tr2bl w:val="nil"/>
            </w:tcBorders>
            <w:noWrap w:val="0"/>
            <w:vAlign w:val="center"/>
          </w:tcPr>
          <w:p w14:paraId="4B6C4BE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闭孔鞘芯，冲洗接头</w:t>
            </w:r>
          </w:p>
        </w:tc>
        <w:tc>
          <w:tcPr>
            <w:tcW w:w="1090" w:type="dxa"/>
            <w:tcBorders>
              <w:tl2br w:val="nil"/>
              <w:tr2bl w:val="nil"/>
            </w:tcBorders>
            <w:noWrap w:val="0"/>
            <w:vAlign w:val="center"/>
          </w:tcPr>
          <w:p w14:paraId="0621A14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11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379CE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6865" w:type="dxa"/>
            <w:tcBorders>
              <w:tl2br w:val="nil"/>
              <w:tr2bl w:val="nil"/>
            </w:tcBorders>
            <w:noWrap w:val="0"/>
            <w:vAlign w:val="center"/>
          </w:tcPr>
          <w:p w14:paraId="02B871A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双踏板脚踏开关</w:t>
            </w:r>
          </w:p>
        </w:tc>
        <w:tc>
          <w:tcPr>
            <w:tcW w:w="1090" w:type="dxa"/>
            <w:tcBorders>
              <w:tl2br w:val="nil"/>
              <w:tr2bl w:val="nil"/>
            </w:tcBorders>
            <w:noWrap w:val="0"/>
            <w:vAlign w:val="center"/>
          </w:tcPr>
          <w:p w14:paraId="0CA9F0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F6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3F731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6865" w:type="dxa"/>
            <w:tcBorders>
              <w:tl2br w:val="nil"/>
              <w:tr2bl w:val="nil"/>
            </w:tcBorders>
            <w:noWrap w:val="0"/>
            <w:vAlign w:val="top"/>
          </w:tcPr>
          <w:p w14:paraId="3249B39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bidi="ar-SA"/>
              </w:rPr>
              <w:t>提供配套所需专用试剂耗材长期供应价格（含名称、品牌、规格、型号、单价）</w:t>
            </w:r>
          </w:p>
        </w:tc>
        <w:tc>
          <w:tcPr>
            <w:tcW w:w="1090" w:type="dxa"/>
            <w:tcBorders>
              <w:tl2br w:val="nil"/>
              <w:tr2bl w:val="nil"/>
            </w:tcBorders>
            <w:noWrap w:val="0"/>
            <w:vAlign w:val="center"/>
          </w:tcPr>
          <w:p w14:paraId="5EA393A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61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top"/>
          </w:tcPr>
          <w:p w14:paraId="617EE7F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6865" w:type="dxa"/>
            <w:tcBorders>
              <w:tl2br w:val="nil"/>
              <w:tr2bl w:val="nil"/>
            </w:tcBorders>
            <w:noWrap w:val="0"/>
            <w:vAlign w:val="center"/>
          </w:tcPr>
          <w:p w14:paraId="4AE2BDE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1090" w:type="dxa"/>
            <w:tcBorders>
              <w:tl2br w:val="nil"/>
              <w:tr2bl w:val="nil"/>
            </w:tcBorders>
            <w:noWrap w:val="0"/>
            <w:vAlign w:val="center"/>
          </w:tcPr>
          <w:p w14:paraId="7363C13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6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7017B8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6865" w:type="dxa"/>
            <w:tcBorders>
              <w:tl2br w:val="nil"/>
              <w:tr2bl w:val="nil"/>
            </w:tcBorders>
            <w:noWrap w:val="0"/>
            <w:vAlign w:val="center"/>
          </w:tcPr>
          <w:p w14:paraId="517EAACC">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90" w:type="dxa"/>
            <w:tcBorders>
              <w:tl2br w:val="nil"/>
              <w:tr2bl w:val="nil"/>
            </w:tcBorders>
            <w:noWrap w:val="0"/>
            <w:vAlign w:val="center"/>
          </w:tcPr>
          <w:p w14:paraId="4D7F88B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DA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0BA100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6865" w:type="dxa"/>
            <w:tcBorders>
              <w:tl2br w:val="nil"/>
              <w:tr2bl w:val="nil"/>
            </w:tcBorders>
            <w:noWrap w:val="0"/>
            <w:vAlign w:val="center"/>
          </w:tcPr>
          <w:p w14:paraId="76AB5108">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90" w:type="dxa"/>
            <w:tcBorders>
              <w:tl2br w:val="nil"/>
              <w:tr2bl w:val="nil"/>
            </w:tcBorders>
            <w:noWrap w:val="0"/>
            <w:vAlign w:val="center"/>
          </w:tcPr>
          <w:p w14:paraId="3760BBF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1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C8B98C1">
            <w:pPr>
              <w:widowControl/>
              <w:adjustRightInd w:val="0"/>
              <w:snapToGrid w:val="0"/>
              <w:jc w:val="center"/>
              <w:rPr>
                <w:rFonts w:hint="eastAsia" w:ascii="宋体" w:hAnsi="宋体" w:eastAsia="宋体" w:cs="宋体"/>
                <w:bCs/>
                <w:color w:val="FF0000"/>
                <w:kern w:val="0"/>
                <w:sz w:val="21"/>
                <w:szCs w:val="21"/>
              </w:rPr>
            </w:pPr>
            <w:r>
              <w:rPr>
                <w:rFonts w:hint="eastAsia" w:ascii="宋体" w:hAnsi="宋体" w:eastAsia="宋体" w:cs="宋体"/>
                <w:bCs/>
                <w:kern w:val="0"/>
                <w:sz w:val="21"/>
                <w:szCs w:val="21"/>
              </w:rPr>
              <w:t>19</w:t>
            </w:r>
          </w:p>
        </w:tc>
        <w:tc>
          <w:tcPr>
            <w:tcW w:w="6865" w:type="dxa"/>
            <w:tcBorders>
              <w:tl2br w:val="nil"/>
              <w:tr2bl w:val="nil"/>
            </w:tcBorders>
            <w:noWrap w:val="0"/>
            <w:vAlign w:val="top"/>
          </w:tcPr>
          <w:p w14:paraId="49A14CA0">
            <w:pPr>
              <w:pStyle w:val="9"/>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90" w:type="dxa"/>
            <w:tcBorders>
              <w:tl2br w:val="nil"/>
              <w:tr2bl w:val="nil"/>
            </w:tcBorders>
            <w:noWrap w:val="0"/>
            <w:vAlign w:val="center"/>
          </w:tcPr>
          <w:p w14:paraId="2E05BE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15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E8CA0BA">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65" w:type="dxa"/>
            <w:tcBorders>
              <w:tl2br w:val="nil"/>
              <w:tr2bl w:val="nil"/>
            </w:tcBorders>
            <w:noWrap w:val="0"/>
            <w:vAlign w:val="center"/>
          </w:tcPr>
          <w:p w14:paraId="64D4ED96">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90" w:type="dxa"/>
            <w:tcBorders>
              <w:tl2br w:val="nil"/>
              <w:tr2bl w:val="nil"/>
            </w:tcBorders>
            <w:noWrap w:val="0"/>
            <w:vAlign w:val="center"/>
          </w:tcPr>
          <w:p w14:paraId="3011D3FB">
            <w:pPr>
              <w:widowControl/>
              <w:adjustRightInd w:val="0"/>
              <w:snapToGrid w:val="0"/>
              <w:spacing w:line="240" w:lineRule="atLeast"/>
              <w:jc w:val="center"/>
              <w:rPr>
                <w:rFonts w:hint="eastAsia" w:ascii="宋体" w:hAnsi="宋体" w:eastAsia="宋体" w:cs="宋体"/>
                <w:kern w:val="0"/>
                <w:sz w:val="21"/>
                <w:szCs w:val="21"/>
              </w:rPr>
            </w:pPr>
          </w:p>
        </w:tc>
      </w:tr>
      <w:tr w14:paraId="556F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C3AF5F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2FF4119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整机质保期≥3年，在质保期内每年由维修工程师提供至少4次的上门维护保养工作，并根据医院要求提供相应记录</w:t>
            </w:r>
          </w:p>
        </w:tc>
        <w:tc>
          <w:tcPr>
            <w:tcW w:w="1090" w:type="dxa"/>
            <w:tcBorders>
              <w:tl2br w:val="nil"/>
              <w:tr2bl w:val="nil"/>
            </w:tcBorders>
            <w:noWrap w:val="0"/>
            <w:vAlign w:val="center"/>
          </w:tcPr>
          <w:p w14:paraId="5B4E59B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58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5DA0FE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50CC08C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1090" w:type="dxa"/>
            <w:tcBorders>
              <w:tl2br w:val="nil"/>
              <w:tr2bl w:val="nil"/>
            </w:tcBorders>
            <w:noWrap w:val="0"/>
            <w:vAlign w:val="center"/>
          </w:tcPr>
          <w:p w14:paraId="6D13F10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8C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806E59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6572629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中标方应对设备操作及维修人员进行操作及维修培训，直至技术人员熟练掌握使用及维修技能为止，提供详细培训记录,提供设备设计使用寿命</w:t>
            </w:r>
          </w:p>
        </w:tc>
        <w:tc>
          <w:tcPr>
            <w:tcW w:w="1090" w:type="dxa"/>
            <w:tcBorders>
              <w:tl2br w:val="nil"/>
              <w:tr2bl w:val="nil"/>
            </w:tcBorders>
            <w:noWrap w:val="0"/>
            <w:vAlign w:val="center"/>
          </w:tcPr>
          <w:p w14:paraId="1FB4B8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D3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19D04C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2DA4D15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1090" w:type="dxa"/>
            <w:tcBorders>
              <w:tl2br w:val="nil"/>
              <w:tr2bl w:val="nil"/>
            </w:tcBorders>
            <w:noWrap w:val="0"/>
            <w:vAlign w:val="center"/>
          </w:tcPr>
          <w:p w14:paraId="757163F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9C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236DAB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5871604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90" w:type="dxa"/>
            <w:tcBorders>
              <w:tl2br w:val="nil"/>
              <w:tr2bl w:val="nil"/>
            </w:tcBorders>
            <w:noWrap w:val="0"/>
            <w:vAlign w:val="center"/>
          </w:tcPr>
          <w:p w14:paraId="6FDA451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72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285CE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226BD5A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1090" w:type="dxa"/>
            <w:tcBorders>
              <w:tl2br w:val="nil"/>
              <w:tr2bl w:val="nil"/>
            </w:tcBorders>
            <w:noWrap w:val="0"/>
            <w:vAlign w:val="center"/>
          </w:tcPr>
          <w:p w14:paraId="4F5FA84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180B8B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657AF"/>
    <w:rsid w:val="5616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character" w:customStyle="1" w:styleId="10">
    <w:name w:val="font31"/>
    <w:basedOn w:val="8"/>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2025-09-16T16:05:00Z</dcterms:created>
  <dc:creator>李子怡</dc:creator>
  <cp:lastModifiedBy>李子怡</cp:lastModifiedBy>
  <dcterms:modified xsi:type="dcterms:W3CDTF">2025-09-16T16:07:52Z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EE7A78C11D634A1A838FBE140B2CE80B_11</vt:lpwstr>
  </property>
  <property fmtid="{D5CDD505-2E9C-101B-9397-08002B2CF9AE}" pid="4" name="KSOTemplateDocerSaveRecord">
    <vt:lpwstr>eyJoZGlkIjoiOGUwODU1ZmJkMmZlNWI2NDZjZDJhZTUyNTI2MjEzYjAiLCJ1c2VySWQiOiIyNzc5ODY3NTAifQ==</vt:lpwstr>
  </property>
</Properties>
</file>