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1DA40CA4">
      <w:pPr>
        <w:spacing w:line="360" w:lineRule="auto"/>
        <w:ind w:firstLine="575" w:firstLineChars="200"/>
        <w:jc w:val="left"/>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sz w:val="32"/>
          <w:szCs w:val="32"/>
          <w:u w:val="single"/>
          <w:lang w:eastAsia="zh-CN"/>
        </w:rPr>
        <w:t xml:space="preserve">  河南省南阳市人民检察院物业服务项目</w:t>
      </w:r>
    </w:p>
    <w:p w14:paraId="4B13ABAF">
      <w:pPr>
        <w:spacing w:line="360" w:lineRule="auto"/>
        <w:ind w:firstLine="575" w:firstLineChars="200"/>
        <w:jc w:val="left"/>
        <w:rPr>
          <w:rFonts w:hint="default" w:ascii="宋体" w:hAnsi="宋体" w:eastAsia="宋体" w:cs="宋体"/>
          <w:sz w:val="32"/>
          <w:szCs w:val="32"/>
          <w:u w:val="single"/>
          <w:lang w:val="en-US"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豫财磋商采购</w:t>
      </w:r>
      <w:r>
        <w:rPr>
          <w:rFonts w:hint="eastAsia" w:ascii="宋体" w:hAnsi="宋体" w:eastAsia="宋体" w:cs="宋体"/>
          <w:sz w:val="32"/>
          <w:szCs w:val="32"/>
          <w:u w:val="single"/>
          <w:lang w:eastAsia="zh-CN"/>
        </w:rPr>
        <w:t>-202</w:t>
      </w:r>
      <w:r>
        <w:rPr>
          <w:rFonts w:hint="eastAsia" w:ascii="宋体" w:hAnsi="宋体" w:eastAsia="宋体" w:cs="宋体"/>
          <w:sz w:val="32"/>
          <w:szCs w:val="32"/>
          <w:u w:val="single"/>
          <w:lang w:val="en-US" w:eastAsia="zh-CN"/>
        </w:rPr>
        <w:t>5</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1229 </w:t>
      </w:r>
    </w:p>
    <w:p w14:paraId="3333FC83">
      <w:pPr>
        <w:spacing w:line="360" w:lineRule="auto"/>
        <w:ind w:firstLine="575" w:firstLineChars="200"/>
        <w:jc w:val="left"/>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z w:val="32"/>
          <w:szCs w:val="32"/>
          <w:u w:val="single"/>
          <w:lang w:eastAsia="zh-CN"/>
        </w:rPr>
        <w:t xml:space="preserve">   河南省南阳市人民检察院</w:t>
      </w:r>
      <w:r>
        <w:rPr>
          <w:rFonts w:hint="eastAsia" w:ascii="宋体" w:hAnsi="宋体" w:eastAsia="宋体" w:cs="宋体"/>
          <w:sz w:val="32"/>
          <w:szCs w:val="32"/>
          <w:u w:val="single"/>
          <w:lang w:val="en-US" w:eastAsia="zh-CN"/>
        </w:rPr>
        <w:t xml:space="preserve"> </w:t>
      </w:r>
    </w:p>
    <w:p w14:paraId="66065F3F">
      <w:pPr>
        <w:pStyle w:val="2"/>
        <w:wordWrap w:val="0"/>
        <w:spacing w:line="360" w:lineRule="auto"/>
        <w:ind w:firstLine="575" w:firstLineChars="200"/>
        <w:jc w:val="left"/>
        <w:outlineLvl w:val="1"/>
        <w:rPr>
          <w:rFonts w:hint="default"/>
          <w:spacing w:val="-17"/>
          <w:sz w:val="32"/>
          <w:szCs w:val="32"/>
          <w:lang w:val="en-US"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r>
        <w:rPr>
          <w:rFonts w:hint="eastAsia"/>
          <w:spacing w:val="-17"/>
          <w:sz w:val="32"/>
          <w:szCs w:val="32"/>
          <w:u w:val="single"/>
          <w:lang w:val="en-US" w:eastAsia="zh-CN"/>
        </w:rPr>
        <w:t xml:space="preserve">     </w:t>
      </w:r>
    </w:p>
    <w:p w14:paraId="265A95FA">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31F510B6">
      <w:pPr>
        <w:pStyle w:val="26"/>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2025年10月</w:t>
      </w: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2"/>
            <w:keepNext w:val="0"/>
            <w:keepLines w:val="0"/>
            <w:pageBreakBefore w:val="0"/>
            <w:kinsoku/>
            <w:wordWrap w:val="0"/>
            <w:overflowPunct/>
            <w:topLinePunct w:val="0"/>
            <w:bidi w:val="0"/>
            <w:jc w:val="both"/>
            <w:rPr>
              <w:rFonts w:hint="eastAsia"/>
              <w:shd w:val="clear" w:color="FFFFFF" w:fill="D9D9D9"/>
            </w:rPr>
          </w:pPr>
        </w:p>
        <w:p w14:paraId="2C03F8FC">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57687A6C">
      <w:pPr>
        <w:pStyle w:val="2"/>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0C8B6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rPr>
        <w:t>1.项目编号：豫财招标采购-202</w:t>
      </w:r>
      <w:r>
        <w:rPr>
          <w:rFonts w:hint="eastAsia" w:asciiTheme="minorEastAsia" w:hAnsiTheme="minorEastAsia" w:eastAsiaTheme="minorEastAsia" w:cstheme="minorEastAsia"/>
          <w:spacing w:val="-25"/>
          <w:sz w:val="24"/>
          <w:szCs w:val="24"/>
          <w:lang w:val="en-US" w:eastAsia="zh-CN"/>
        </w:rPr>
        <w:t>5</w:t>
      </w: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spacing w:val="-25"/>
          <w:sz w:val="24"/>
          <w:szCs w:val="24"/>
          <w:lang w:val="en-US" w:eastAsia="zh-CN"/>
        </w:rPr>
        <w:t>229</w:t>
      </w:r>
    </w:p>
    <w:p w14:paraId="5CAB35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eastAsia="zh-CN"/>
        </w:rPr>
        <w:t>河南省南阳市人民检察院物业服务项目</w:t>
      </w:r>
    </w:p>
    <w:p w14:paraId="2CBF26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468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468</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tbl>
      <w:tblPr>
        <w:tblStyle w:val="32"/>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E3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2B0534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包号</w:t>
            </w:r>
          </w:p>
        </w:tc>
        <w:tc>
          <w:tcPr>
            <w:tcW w:w="3848" w:type="dxa"/>
            <w:vAlign w:val="center"/>
          </w:tcPr>
          <w:p w14:paraId="75E7C6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包</w:t>
            </w:r>
            <w:r>
              <w:rPr>
                <w:rFonts w:hint="eastAsia" w:asciiTheme="majorEastAsia" w:hAnsiTheme="majorEastAsia" w:eastAsiaTheme="majorEastAsia" w:cstheme="majorEastAsia"/>
                <w:spacing w:val="7"/>
                <w:sz w:val="24"/>
                <w:szCs w:val="24"/>
              </w:rPr>
              <w:t>名称</w:t>
            </w:r>
          </w:p>
        </w:tc>
        <w:tc>
          <w:tcPr>
            <w:tcW w:w="2119" w:type="dxa"/>
            <w:vAlign w:val="center"/>
          </w:tcPr>
          <w:p w14:paraId="4F2E14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u w:val="single"/>
                <w:lang w:val="en-US" w:eastAsia="zh-CN" w:bidi="ar-SA"/>
              </w:rPr>
            </w:pPr>
            <w:r>
              <w:rPr>
                <w:rFonts w:hint="eastAsia" w:asciiTheme="majorEastAsia" w:hAnsiTheme="majorEastAsia" w:eastAsiaTheme="majorEastAsia" w:cstheme="majorEastAsia"/>
                <w:snapToGrid w:val="0"/>
                <w:color w:val="000000"/>
                <w:kern w:val="0"/>
                <w:sz w:val="28"/>
                <w:szCs w:val="28"/>
                <w:u w:val="single"/>
                <w:lang w:val="en-US" w:eastAsia="zh-CN" w:bidi="ar-SA"/>
              </w:rPr>
              <w:t>包预算（元）</w:t>
            </w:r>
          </w:p>
        </w:tc>
      </w:tr>
      <w:tr w14:paraId="0854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6D7C4798">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1229</w:t>
            </w:r>
          </w:p>
          <w:p w14:paraId="4137A88F">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4EC8E28B">
            <w:pPr>
              <w:jc w:val="center"/>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pacing w:val="-24"/>
                <w:sz w:val="24"/>
                <w:szCs w:val="24"/>
                <w:lang w:eastAsia="zh-CN"/>
              </w:rPr>
              <w:t>河南省南阳市人民检察院物业服务项目</w:t>
            </w:r>
          </w:p>
        </w:tc>
        <w:tc>
          <w:tcPr>
            <w:tcW w:w="2119" w:type="dxa"/>
            <w:vAlign w:val="center"/>
          </w:tcPr>
          <w:p w14:paraId="377AB4A3">
            <w:pPr>
              <w:jc w:val="center"/>
              <w:rPr>
                <w:rFonts w:hint="default" w:eastAsia="宋体" w:asciiTheme="minorEastAsia" w:hAnsiTheme="minorEastAsia" w:cstheme="minorEastAsia"/>
                <w:snapToGrid w:val="0"/>
                <w:color w:val="000000"/>
                <w:kern w:val="0"/>
                <w:sz w:val="28"/>
                <w:szCs w:val="28"/>
                <w:u w:val="none"/>
                <w:lang w:val="en-US" w:eastAsia="zh-CN" w:bidi="ar-SA"/>
              </w:rPr>
            </w:pPr>
            <w:r>
              <w:rPr>
                <w:rFonts w:hint="eastAsia" w:asciiTheme="minorEastAsia" w:hAnsiTheme="minorEastAsia" w:eastAsiaTheme="minorEastAsia" w:cstheme="minorEastAsia"/>
                <w:sz w:val="24"/>
                <w:szCs w:val="24"/>
                <w:lang w:val="en-US" w:eastAsia="zh-CN"/>
              </w:rPr>
              <w:t>4680000</w:t>
            </w:r>
          </w:p>
        </w:tc>
      </w:tr>
    </w:tbl>
    <w:p w14:paraId="0F185C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p>
    <w:p w14:paraId="3AFB468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人民检察院位于南阳市信臣路东段，物业服务范围包括检察院整个机关大院（含办案区）共约130亩地（绿化面积约2.6万平方米）区域的安保、绿地管护、楼内保洁、电梯维护及水设备清洗消毒等物业服务，服务期限3年，三年总费用为468万元。</w:t>
      </w:r>
    </w:p>
    <w:p w14:paraId="592A89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190" w:firstLineChars="100"/>
        <w:jc w:val="left"/>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5.合同履行期限：3年。</w:t>
      </w:r>
    </w:p>
    <w:p w14:paraId="42D3E1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236" w:firstLineChars="100"/>
        <w:jc w:val="left"/>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418FF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12"/>
          <w:position w:val="17"/>
          <w:sz w:val="24"/>
          <w:szCs w:val="24"/>
        </w:rPr>
        <w:t>。</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w:t>
      </w:r>
    </w:p>
    <w:p w14:paraId="0686D8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pacing w:val="-13"/>
          <w:sz w:val="24"/>
          <w:szCs w:val="24"/>
        </w:rPr>
        <w:t>1.时间：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b w:val="0"/>
          <w:bCs w:val="0"/>
          <w:color w:val="auto"/>
          <w:spacing w:val="-13"/>
          <w:sz w:val="24"/>
          <w:szCs w:val="24"/>
          <w:highlight w:val="none"/>
        </w:rPr>
        <w:t>日至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b w:val="0"/>
          <w:bCs w:val="0"/>
          <w:color w:val="auto"/>
          <w:spacing w:val="-13"/>
          <w:sz w:val="24"/>
          <w:szCs w:val="24"/>
          <w:highlight w:val="none"/>
        </w:rPr>
        <w:t>日，</w:t>
      </w:r>
      <w:r>
        <w:rPr>
          <w:rFonts w:hint="eastAsia" w:asciiTheme="minorEastAsia" w:hAnsiTheme="minorEastAsia" w:eastAsiaTheme="minorEastAsia" w:cstheme="minorEastAsia"/>
          <w:b w:val="0"/>
          <w:bCs w:val="0"/>
          <w:color w:val="auto"/>
          <w:spacing w:val="-14"/>
          <w:sz w:val="24"/>
          <w:szCs w:val="24"/>
          <w:highlight w:val="none"/>
        </w:rPr>
        <w:t>每天上午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，下午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b w:val="0"/>
          <w:bCs w:val="0"/>
          <w:color w:val="auto"/>
          <w:spacing w:val="-14"/>
          <w:sz w:val="24"/>
          <w:szCs w:val="24"/>
          <w:highlight w:val="none"/>
        </w:rPr>
        <w:t>（北京时</w:t>
      </w:r>
      <w:r>
        <w:rPr>
          <w:rFonts w:hint="eastAsia" w:asciiTheme="minorEastAsia" w:hAnsiTheme="minorEastAsia" w:eastAsiaTheme="minorEastAsia" w:cstheme="minorEastAsia"/>
          <w:b w:val="0"/>
          <w:bCs w:val="0"/>
          <w:color w:val="auto"/>
          <w:spacing w:val="-15"/>
          <w:sz w:val="24"/>
          <w:szCs w:val="24"/>
          <w:highlight w:val="none"/>
        </w:rPr>
        <w:t>间，法定节假日除外）。</w:t>
      </w:r>
    </w:p>
    <w:p w14:paraId="5BE2FD2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2E9642B2">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B56E8D8">
      <w:pPr>
        <w:pStyle w:val="3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4280B9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0000FF"/>
          <w:spacing w:val="-14"/>
          <w:sz w:val="24"/>
          <w:szCs w:val="24"/>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30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2"/>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9"/>
          <w:sz w:val="24"/>
          <w:szCs w:val="24"/>
          <w:lang w:eastAsia="zh-CN"/>
        </w:rPr>
        <w:t>。</w:t>
      </w: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2"/>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w:t>
      </w:r>
      <w:r>
        <w:rPr>
          <w:rFonts w:hint="eastAsia" w:asciiTheme="minorEastAsia" w:hAnsiTheme="minorEastAsia" w:eastAsiaTheme="minorEastAsia" w:cstheme="minorEastAsia"/>
          <w:spacing w:val="-24"/>
          <w:sz w:val="24"/>
          <w:szCs w:val="24"/>
          <w:highlight w:val="none"/>
          <w:lang w:eastAsia="zh-CN"/>
        </w:rPr>
        <w:t>河南省南阳市人民检察院</w:t>
      </w:r>
    </w:p>
    <w:p w14:paraId="5AD66D16">
      <w:pPr>
        <w:pStyle w:val="2"/>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地址：</w:t>
      </w:r>
      <w:r>
        <w:rPr>
          <w:rFonts w:hint="eastAsia" w:cs="宋体"/>
          <w:color w:val="auto"/>
          <w:spacing w:val="-15"/>
          <w:sz w:val="24"/>
          <w:szCs w:val="24"/>
          <w:highlight w:val="none"/>
          <w:u w:val="none"/>
          <w:lang w:val="en-US" w:eastAsia="zh-CN"/>
        </w:rPr>
        <w:t>河南省南阳市宛城区信臣东路1866号</w:t>
      </w:r>
    </w:p>
    <w:p w14:paraId="1177FEC2">
      <w:pPr>
        <w:pStyle w:val="2"/>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联系人：</w:t>
      </w:r>
      <w:r>
        <w:rPr>
          <w:rFonts w:hint="eastAsia" w:cs="宋体"/>
          <w:color w:val="auto"/>
          <w:spacing w:val="-15"/>
          <w:sz w:val="24"/>
          <w:szCs w:val="24"/>
          <w:highlight w:val="none"/>
          <w:u w:val="none"/>
          <w:lang w:val="en-US" w:eastAsia="zh-CN"/>
        </w:rPr>
        <w:t>贾学飞</w:t>
      </w:r>
    </w:p>
    <w:p w14:paraId="2F96B22A">
      <w:pPr>
        <w:pStyle w:val="2"/>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w:t>
      </w:r>
      <w:r>
        <w:rPr>
          <w:rFonts w:hint="eastAsia" w:ascii="宋体" w:hAnsi="宋体" w:eastAsia="宋体" w:cs="宋体"/>
          <w:color w:val="auto"/>
          <w:spacing w:val="-15"/>
          <w:sz w:val="24"/>
          <w:szCs w:val="24"/>
          <w:highlight w:val="none"/>
          <w:u w:val="none"/>
          <w:lang w:val="en-US" w:eastAsia="zh-CN"/>
        </w:rPr>
        <w:t>0377-62270516</w:t>
      </w:r>
    </w:p>
    <w:p w14:paraId="4C10EE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4"/>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148049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0070C0"/>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AA93A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FFFF4F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697EEA">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8A63308">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E34717">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E42798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E0D05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BA48C64">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bookmarkStart w:id="0" w:name="_GoBack"/>
      <w:bookmarkEnd w:id="0"/>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F2B6F70">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一、服务范围及要求</w:t>
      </w:r>
    </w:p>
    <w:p w14:paraId="158A4414">
      <w:pPr>
        <w:ind w:firstLine="384"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24"/>
          <w:sz w:val="24"/>
          <w:szCs w:val="24"/>
          <w:highlight w:val="none"/>
          <w:lang w:eastAsia="zh-CN"/>
        </w:rPr>
        <w:t>河南省南阳市人民检察院</w:t>
      </w:r>
      <w:r>
        <w:rPr>
          <w:rFonts w:hint="eastAsia" w:asciiTheme="minorEastAsia" w:hAnsiTheme="minorEastAsia" w:eastAsiaTheme="minorEastAsia" w:cstheme="minorEastAsia"/>
          <w:spacing w:val="-1"/>
          <w:sz w:val="24"/>
          <w:szCs w:val="24"/>
          <w:lang w:val="en-US" w:eastAsia="zh-CN"/>
        </w:rPr>
        <w:t>位于南阳市信臣路东段，物业服务范围包括检察院整个机关大院（含办案区）共约130亩地（绿化面积约2.6万平方米）区域的安保、绿地管护、楼内保洁、电梯维护及水设备清洗消毒等物业服务，服务期限3年，</w:t>
      </w:r>
      <w:r>
        <w:rPr>
          <w:rFonts w:hint="eastAsia" w:asciiTheme="minorEastAsia" w:hAnsiTheme="minorEastAsia" w:eastAsiaTheme="minorEastAsia" w:cstheme="minorEastAsia"/>
          <w:spacing w:val="-25"/>
          <w:sz w:val="24"/>
          <w:szCs w:val="24"/>
          <w:lang w:val="en-US" w:eastAsia="zh-CN"/>
        </w:rPr>
        <w:t>三年总费用为468万元。</w:t>
      </w:r>
      <w:r>
        <w:rPr>
          <w:rFonts w:hint="eastAsia" w:asciiTheme="minorEastAsia" w:hAnsiTheme="minorEastAsia" w:eastAsiaTheme="minorEastAsia" w:cstheme="minorEastAsia"/>
          <w:spacing w:val="-1"/>
          <w:sz w:val="24"/>
          <w:szCs w:val="24"/>
          <w:lang w:val="en-US" w:eastAsia="zh-CN"/>
        </w:rPr>
        <w:t>具体范围界定和要求如下：</w:t>
      </w:r>
    </w:p>
    <w:p w14:paraId="71E18A73">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二、物业服务岗位要求</w:t>
      </w:r>
    </w:p>
    <w:p w14:paraId="3EB4A1A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（一）物业人数要求</w:t>
      </w:r>
    </w:p>
    <w:p w14:paraId="54A12B9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物业服务总人员不少于39人（含管理人员），具体物业服务人员以满足服务要求为准。</w:t>
      </w:r>
    </w:p>
    <w:p w14:paraId="5463172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（二）物业岗位、资质（格）及职责要求</w:t>
      </w:r>
    </w:p>
    <w:p w14:paraId="675E1A3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1、项目经理1人，应具有相应证书，负责本项目所有事宜。</w:t>
      </w:r>
    </w:p>
    <w:p w14:paraId="37160FC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2、保安岗位不少于13人（含保安队长）（机关大门口4人、办公楼大厅3人、消防监控室值班2人，办案工作区2人，12309接访站1人，以上均含夜间值班及巡逻）。</w:t>
      </w:r>
    </w:p>
    <w:p w14:paraId="04B5CC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（1）工作职责：负责门卫等机关大院（含办案工作区）的安全工作、负责进出车辆管理、负责消防监控室值班工作。</w:t>
      </w:r>
    </w:p>
    <w:p w14:paraId="0884BB8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（2）任职人员要求：年龄18-48岁，身高1.68米以上。了解安全保障常识，服从命令听指挥，无刑事处罚、劳动教养、收容教育、强制戒毒或者被开除公职、开除军籍的记录，退伍军人优先。</w:t>
      </w:r>
    </w:p>
    <w:p w14:paraId="7B8725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3、保洁服务岗位不少于10人。</w:t>
      </w:r>
    </w:p>
    <w:p w14:paraId="7B90B77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岗位职责：负责机关大院（含办案区）楼内公共区域和会议室、拓展中心、接待大厅等室内及体育活动区域场地卫生清洁工作，保证按质按量的完成所分配的任务。任职人员年龄要求50岁以下。</w:t>
      </w:r>
    </w:p>
    <w:p w14:paraId="04F97B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4、绿地管护岗位人员不少于7人。</w:t>
      </w:r>
    </w:p>
    <w:p w14:paraId="3D239CF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范围：负责机关大院（含办案区）的树木、草坪、花卉的养护工作，定期施肥、浇水、修剪、打药、防治病虫害；负责机关大院（含办案区）内、办公楼外的卫生保洁工作，两区域楼内生活垃圾集中整理后外运至门外垃圾中转站。</w:t>
      </w:r>
    </w:p>
    <w:p w14:paraId="19DE9F1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（2）任职人员要求：年龄20-55岁，3年以上绿地管理工作经验、身体健康，工作责任心强，能吃苦耐劳，有良好的服务意识。</w:t>
      </w:r>
    </w:p>
    <w:p w14:paraId="4ED197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5、水电岗位不少于4人（含夜间值班人1人）。</w:t>
      </w:r>
    </w:p>
    <w:p w14:paraId="1DB924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（1）岗位职责：负责机关大院（含办案工作区）的水、电设备的日常巡视、检查和维修工作，做好计划性保养工作；负责二次供水设备维护；配合完成各种临时性工程改造工作。</w:t>
      </w:r>
    </w:p>
    <w:p w14:paraId="7A4948A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 18—45岁；2年以上相关工作经验；工作责任心强，有良好的服务意识。</w:t>
      </w:r>
    </w:p>
    <w:p w14:paraId="092E860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6、会议及办案区住宿房间服务岗位不少于4人。</w:t>
      </w:r>
    </w:p>
    <w:p w14:paraId="54E5ACA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负责会议室的保洁，负责会议时的茶水、果点、会议用品、桌椅、照明等工作；负责办案区住宿房间布草保洁等工作，办案工作区住人时，每天需对住宿房间的做好布草保洁工作，不住人时，每月需对住宿房间至少做一遍保洁工作；负责传达室报刊信件的分发工作，保证按质按量的完成所分配的任务。</w:t>
      </w:r>
    </w:p>
    <w:p w14:paraId="33058CE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（2）任职人员要求：女，任职人员年龄要求50岁以下，其中不少于3人员年龄在20--30岁，身高1.62米以上，相貌端庄大方，能吃苦耐劳，干活利索，有酒店服务、会议服务工作经验。</w:t>
      </w:r>
    </w:p>
    <w:p w14:paraId="75B8586B">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三、物业服务管理范围</w:t>
      </w:r>
    </w:p>
    <w:p w14:paraId="31FA355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机关大院（含办案工作区）安保服务；</w:t>
      </w:r>
    </w:p>
    <w:p w14:paraId="2B308CA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负责机关大院（含办案工作区）楼内公共区域和会议室、拓展中心、接待大厅等室内及体育活动区域场地卫生清洁工作；</w:t>
      </w:r>
    </w:p>
    <w:p w14:paraId="57A7AE5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机关大院（含办案工作区）绿地管护服务及院落清扫保洁；</w:t>
      </w:r>
    </w:p>
    <w:p w14:paraId="1CDA56F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水电维护；</w:t>
      </w:r>
    </w:p>
    <w:p w14:paraId="7481AAC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电梯维护。</w:t>
      </w:r>
    </w:p>
    <w:p w14:paraId="0E6C98F8">
      <w:pPr>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四、物业服务管理标准</w:t>
      </w:r>
    </w:p>
    <w:p w14:paraId="176D6D2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（一）安保工作及公共秩序维护管理要求</w:t>
      </w:r>
    </w:p>
    <w:p w14:paraId="21A1B3F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1、大门口、办公楼大厅卫及消防监控值班室实行24小时有人值守，安装值班电话，禁止脱岗。在机关上班时间对本单位人员、车辆，文明礼貌服务。</w:t>
      </w:r>
    </w:p>
    <w:p w14:paraId="75C8B48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2、疏导内部车辆（由甲方提供内部车辆车牌号，门卫以此区别外来车辆）停放在院内规划的车位上，不得在院内乱停乱放，劝阻外来车辆进入院内。</w:t>
      </w:r>
    </w:p>
    <w:p w14:paraId="6A13300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3、行政班时间对外来人员严格询问、登记、制止无关人员进入，非行政班时间原则上非本院人员免进。</w:t>
      </w:r>
    </w:p>
    <w:p w14:paraId="5E2BEAA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4、按甲方规定的时间及时地开关大门，保证门口秩序，人员及车辆出入顺利。</w:t>
      </w:r>
    </w:p>
    <w:p w14:paraId="0D5960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5、严禁小商、小贩等闲杂人员进入办公区。</w:t>
      </w:r>
    </w:p>
    <w:p w14:paraId="5F17E58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6、凡大件物品出大门时需有后勤签字或办公人员陪同证明，且门卫作好记录放行。</w:t>
      </w:r>
    </w:p>
    <w:p w14:paraId="44D883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7、如外来人员来访，必须能准确说明被访人所在处室及姓名者或经电话预约后，方可登记后入院；如来访人员要求到找单位领导，门卫应通过电话询问被访人，得到同意并进行登记后方可前往。</w:t>
      </w:r>
    </w:p>
    <w:p w14:paraId="1A87C60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8、门卫人员如发现突发事件时如：火情、盗窃及其它危害人身财产安全的现象，迅速上报有关部门和双方主管领导，并采取力所能及的应急措施。</w:t>
      </w:r>
    </w:p>
    <w:p w14:paraId="27A6868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9、配合甲方及辖区部门做好综合治理工作，把治安事件控制到最低。</w:t>
      </w:r>
    </w:p>
    <w:p w14:paraId="70B45D8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10、门岗室内外保持整洁卫生，无关人员不准在门卫室长期逗留或打牌。</w:t>
      </w:r>
    </w:p>
    <w:p w14:paraId="6C91EE6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11、在举行大型集体活动时，疏导外来车辆的有序停放工作。</w:t>
      </w:r>
    </w:p>
    <w:p w14:paraId="03BCEC5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12、每周三上午在机关大院进行培训或训练。</w:t>
      </w:r>
    </w:p>
    <w:p w14:paraId="46F7703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13、门卫、办公楼大厅、消防监控值班室、办案工作区门卫实行24小时有人值守，安装值班电话，禁止脱岗。晚间值班人员按要求和分工，2小时内对全院夜间巡逻一次，管理物业服务部门应在院内适当位置设置打卡设备，记录巡逻轨迹，并在值班室巡逻值班薄记录巡逻情况。每年进行两次消防知识培训和消防演练，使大家掌握消防基本常识，熟练运用常用的消防器材。</w:t>
      </w:r>
    </w:p>
    <w:p w14:paraId="0FA76B2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（二）办公大楼及办案区公共区域、会议室、接待大厅、信访室及拓展中心室内保洁服务范围、工作流程及质量标准</w:t>
      </w:r>
    </w:p>
    <w:p w14:paraId="5EC1BD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1、大厅的保洁：</w:t>
      </w:r>
    </w:p>
    <w:p w14:paraId="3DBE9A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4F74D81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包括地面、宣传牌、信报箱、垃圾筒、电梯间、消防设施。</w:t>
      </w:r>
    </w:p>
    <w:p w14:paraId="3B83EDF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562EFAE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每天上午、下午院上班前分两次重点清理大厅、重点清理地面的垃圾杂物，院上班后，及时巡视保洁数次。</w:t>
      </w:r>
    </w:p>
    <w:p w14:paraId="600C0BB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用扫把清扫大厅地面垃圾，用长柄刷沾洗洁精清除掉污渍和香口胶。</w:t>
      </w:r>
    </w:p>
    <w:p w14:paraId="24EF02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清倒垃圾筒，洗后净后放回原处。</w:t>
      </w:r>
    </w:p>
    <w:p w14:paraId="1D66F82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用尘拖或拖把拖掉地面尘土和污迹。</w:t>
      </w:r>
    </w:p>
    <w:p w14:paraId="383CA52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用干毛巾和不锈钢油轻抹大厅内各种不锈钢制品，包括门柱、镶字、宣传栏。</w:t>
      </w:r>
    </w:p>
    <w:p w14:paraId="5A8AB2E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用湿毛巾拧干后，擦抹大厅门窗框、防火门、消防栓柜、指示牌、信报箱。</w:t>
      </w:r>
    </w:p>
    <w:p w14:paraId="5BD17A9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先用湿拖把拖两遍台阶，再将干净的湿拖把用力拧干后再拖一遍。</w:t>
      </w:r>
    </w:p>
    <w:p w14:paraId="65F96F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用干净毛巾擦拭玻璃门，并每周清刮一次。</w:t>
      </w:r>
    </w:p>
    <w:p w14:paraId="7C0B5B2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出入口的台阶每周用洗洁精冲刷一次。</w:t>
      </w:r>
    </w:p>
    <w:p w14:paraId="1C8285A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1D03282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地面无烟头、纸屑、果皮等杂物，无污渍。</w:t>
      </w:r>
    </w:p>
    <w:p w14:paraId="2F9EF9B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公共设施表面无明显灰尘。</w:t>
      </w:r>
    </w:p>
    <w:p w14:paraId="619CA72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不锈钢表面光亮无污迹</w:t>
      </w:r>
    </w:p>
    <w:p w14:paraId="28D310F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玻璃门无水迹、手印、污迹。</w:t>
      </w:r>
    </w:p>
    <w:p w14:paraId="1E683DF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2、公用卫生间的保洁</w:t>
      </w:r>
    </w:p>
    <w:p w14:paraId="46126BB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6E78EC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服务区域内所有公用卫生间。</w:t>
      </w:r>
    </w:p>
    <w:p w14:paraId="679276D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6A731D9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每天上午、下午院上班前分两次重点清理公用卫生间，院上班后巡视保洁。</w:t>
      </w:r>
    </w:p>
    <w:p w14:paraId="46F8EB6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打开门窗通风，用水冲洗大小便器，用夹子夹出小便器内的烟头等杂物。</w:t>
      </w:r>
    </w:p>
    <w:p w14:paraId="10646A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从上到下屋顶、墙面清洁除尘、瓷砖面擦抹，清扫地面垃圾，清倒垃圾篓，换新垃圾袋后放回原位。</w:t>
      </w:r>
    </w:p>
    <w:p w14:paraId="0B6257E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将洁厕水倒入水勺内，用厕所刷沾洁厕水刷洗大、小便器，然后用清水冲净。</w:t>
      </w:r>
    </w:p>
    <w:p w14:paraId="4BDE5C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用湿拖把拖干净地面，然后用干拖把拖干。</w:t>
      </w:r>
    </w:p>
    <w:p w14:paraId="41206DF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点燃卫生香和空气清新剂，小便斗内放入卫生球（樟脑丸）。</w:t>
      </w:r>
    </w:p>
    <w:p w14:paraId="35D89C7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及时巡视保洁数次，冲刷大小便池，清理地面垃圾、积水等。</w:t>
      </w:r>
    </w:p>
    <w:p w14:paraId="6C1D15D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6FCF6B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天花板、墙角、灯具目视无灰尘、蜘蛛网。</w:t>
      </w:r>
    </w:p>
    <w:p w14:paraId="6BFB9D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面镜、洗脸盆、台面洁净无污渍。</w:t>
      </w:r>
    </w:p>
    <w:p w14:paraId="688AA76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目视墙壁干净，便器洁净无黄渍。</w:t>
      </w:r>
    </w:p>
    <w:p w14:paraId="4E307DB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室内无异味、臭味。</w:t>
      </w:r>
    </w:p>
    <w:p w14:paraId="405DB96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地面无烟头、污渍、积水、纸屑、果皮。</w:t>
      </w:r>
    </w:p>
    <w:p w14:paraId="2921F5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3、楼道的清洁：</w:t>
      </w:r>
    </w:p>
    <w:p w14:paraId="5788EC2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4413A1C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楼道楼级、扶手、墙面、信报箱、消防栓、消防管道、楼道门窗、楼道灯开关及灯具的清洁。</w:t>
      </w:r>
    </w:p>
    <w:p w14:paraId="1CEF7EF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501CDA1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从顶层到底层自上而下清扫楼道梯级，将果皮、烟头、纸屑收集倒入垃圾箱；用胶桶装清水，洗净拖把，从顶层往下逐级拖抹梯级，拖抹时，清洗拖把数次。</w:t>
      </w:r>
    </w:p>
    <w:p w14:paraId="1553027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自上而下擦抹楼梯扶手及栏杆，擦抹时，清洗抹布数次。</w:t>
      </w:r>
    </w:p>
    <w:p w14:paraId="7BD9559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用于抹布擦抹配电箱、电表箱上的灰尘和污迹。</w:t>
      </w:r>
    </w:p>
    <w:p w14:paraId="226F1F8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每天上午、下午院上班前保洁完毕。</w:t>
      </w:r>
    </w:p>
    <w:p w14:paraId="0099F9A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上班后及时巡视楼道内外卫生，将广告纸、烟头、果皮、垃圾清扫干净。</w:t>
      </w:r>
    </w:p>
    <w:p w14:paraId="5A2D254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D857CD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每天重点清扫、拖抹两次，并及时巡视保洁数次，保持干净。</w:t>
      </w:r>
    </w:p>
    <w:p w14:paraId="1DD31F3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目视楼道：无烟头、果皮、纸屑、广告纸、蜘蛛网、积尘、污迹等。</w:t>
      </w:r>
    </w:p>
    <w:p w14:paraId="09EB3B1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4、瓷砖、喷涂和大理石墙面的保洁</w:t>
      </w:r>
    </w:p>
    <w:p w14:paraId="362BDA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31E48A0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服务区内所有贴瓷砖的内墙面、喷涂墙面和大理石墙面。</w:t>
      </w:r>
    </w:p>
    <w:p w14:paraId="196F191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314A691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用铲刀、刀片轻轻刮掉墙面的污垢、脏渍。</w:t>
      </w:r>
    </w:p>
    <w:p w14:paraId="32F0388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把毛巾浸入放有洗洁精的水盆，沿着墙壁从上往下来回擦抹。</w:t>
      </w:r>
    </w:p>
    <w:p w14:paraId="6D66B1C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有污迹的地方，再用短柄刷刷洗。</w:t>
      </w:r>
    </w:p>
    <w:p w14:paraId="1FDF0A0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换清水后，将毛巾浸透后，用力拧干，再清找一遍。</w:t>
      </w:r>
    </w:p>
    <w:p w14:paraId="4A7DB86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用干拖把拖干地面。</w:t>
      </w:r>
    </w:p>
    <w:p w14:paraId="44954B2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墙面清抹每周一次，墙面清洗每月一次，视其情况增加次数。</w:t>
      </w:r>
    </w:p>
    <w:p w14:paraId="24E3CB3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79EEB01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目视墙面干净整洁无污迹。</w:t>
      </w:r>
    </w:p>
    <w:p w14:paraId="09D6798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5、乳胶漆墙面的保洁：</w:t>
      </w:r>
    </w:p>
    <w:p w14:paraId="59E8394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6A9E33C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服务区内楼梯、走道等处的乳胶漆墙面及天棚面。</w:t>
      </w:r>
    </w:p>
    <w:p w14:paraId="2CE2094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3F50699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关闭局部要清洁处的门窗，在地面上淋些水。</w:t>
      </w:r>
    </w:p>
    <w:p w14:paraId="53BCB44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用鸡毛掸子或干净的扫把轻轻掸去墙面及天棚上灰尘。</w:t>
      </w:r>
    </w:p>
    <w:p w14:paraId="284047C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用干毛巾清擦墙面的污迹，擦不掉的污迹用细砂纸轻轻擦掉。</w:t>
      </w:r>
    </w:p>
    <w:p w14:paraId="669D474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用铲刀铲掉墙面上粘附的泥沙、痰迹。</w:t>
      </w:r>
    </w:p>
    <w:p w14:paraId="73C3D3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扫净地面灰尘，再用拖把拖干净地面。</w:t>
      </w:r>
    </w:p>
    <w:p w14:paraId="4587E43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上述工作每月做一次，视其情况增加次数。</w:t>
      </w:r>
    </w:p>
    <w:p w14:paraId="116706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668CF9D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目视墙面洁净无污迹、无粘附物、无灰尘、无蜘蛛网等。</w:t>
      </w:r>
    </w:p>
    <w:p w14:paraId="33C70C5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6、走廊的保洁：</w:t>
      </w:r>
    </w:p>
    <w:p w14:paraId="2C4338B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77D1A10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服务区内所有楼层公共通道地面。</w:t>
      </w:r>
    </w:p>
    <w:p w14:paraId="4102380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72B3931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每天上午、下午院上班前分两次用扫把拖把对走道地面清扫拖抹干净；院上班后及时巡视保洁数次。</w:t>
      </w:r>
    </w:p>
    <w:p w14:paraId="57B48B2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用长柄手刷沾去污粉对污迹较重的通道地面彻底清刷，再用拧干的湿毛巾，抹净墙根部分踢脚线。</w:t>
      </w:r>
    </w:p>
    <w:p w14:paraId="49B3E3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96524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地面目视干净无杂物、无污迹。</w:t>
      </w:r>
    </w:p>
    <w:p w14:paraId="2D78D97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7、不锈钢的保洁保养：</w:t>
      </w:r>
    </w:p>
    <w:p w14:paraId="0B9A5B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2C97E51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护栏、标牌、宣传栏、扶手。</w:t>
      </w:r>
    </w:p>
    <w:p w14:paraId="3C16F38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2659320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先用兑有中性清洁剂的溶液抹不锈钢表面。</w:t>
      </w:r>
    </w:p>
    <w:p w14:paraId="07F1B95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然后用无绒毛巾抹净不锈钢表面上的水珠。</w:t>
      </w:r>
    </w:p>
    <w:p w14:paraId="55B0510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置少许不锈钢油于无绒毛巾上，对不锈钢表面进行拭抹。</w:t>
      </w:r>
    </w:p>
    <w:p w14:paraId="66BC751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表面面积大的可用手动喷雾枪将不锈钢油喷于不锈钢表面，然后用无绒干毛巾拭抹。</w:t>
      </w:r>
    </w:p>
    <w:p w14:paraId="27A5618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3F5F4D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亚光面不锈钢表面无污迹、无灰尘。</w:t>
      </w:r>
    </w:p>
    <w:p w14:paraId="3F6A156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镜面不锈钢表面光亮，三米内能清晰映出人物影象。</w:t>
      </w:r>
    </w:p>
    <w:p w14:paraId="0802C71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8、垃圾桶（箱）、痰盂的保洁：</w:t>
      </w:r>
    </w:p>
    <w:p w14:paraId="5D3BC26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（1）工作流程：</w:t>
      </w:r>
    </w:p>
    <w:p w14:paraId="22B11FA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清理出的垃圾按指定位置堆放。</w:t>
      </w:r>
    </w:p>
    <w:p w14:paraId="4DD77D5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清除垃圾桶（箱）、痰盂内的垃圾后，将桶（箱）、痰盂搬到有水源的地方，先用水冲洗一遍，然后对污迹处倒少许去污粉擦洗，再用水冲洗干净，搬到原处放好。</w:t>
      </w:r>
    </w:p>
    <w:p w14:paraId="1C84820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（2）标准</w:t>
      </w:r>
    </w:p>
    <w:p w14:paraId="0D77F10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目视无污迹，无广告纸，每天清运、清洗一次，垃圾桶和箱每周用去污粉清洁一次。</w:t>
      </w:r>
    </w:p>
    <w:p w14:paraId="51ADF85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垃圾桶周围不积污水，位置摆放合理，桶盖闭合，外观干净清洁。</w:t>
      </w:r>
    </w:p>
    <w:p w14:paraId="261317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9、客用电梯的保洁：</w:t>
      </w:r>
    </w:p>
    <w:p w14:paraId="64F1E44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电梯门干净、无手印、无污迹、轨道干净无杂物。</w:t>
      </w:r>
    </w:p>
    <w:p w14:paraId="43EF33A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顶面、顶灯干净无灰尘。</w:t>
      </w:r>
    </w:p>
    <w:p w14:paraId="2CBBEAC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轿箱四壁干净无灰尘、无污渍。</w:t>
      </w:r>
    </w:p>
    <w:p w14:paraId="60870CE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地板干净无杂物、尘土、污渍。</w:t>
      </w:r>
    </w:p>
    <w:p w14:paraId="6740F6E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内外按键、控盘干净无灰尘、无污渍。</w:t>
      </w:r>
    </w:p>
    <w:p w14:paraId="09DE4AF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10、会议室及拓展中心室内的保洁：</w:t>
      </w:r>
    </w:p>
    <w:p w14:paraId="267292E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会议室门面、门把手、表面无尘土、无污渍、手印。</w:t>
      </w:r>
    </w:p>
    <w:p w14:paraId="76EC395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桌椅摆放整齐，干净无尘土、无毛发。</w:t>
      </w:r>
    </w:p>
    <w:p w14:paraId="44DF2C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墙面、布面无尘土、无污渍、悬挂摆放的各种饰品干净，摆放整齐。</w:t>
      </w:r>
    </w:p>
    <w:p w14:paraId="0A51B33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垃圾桶及时清倒、内外干净。</w:t>
      </w:r>
    </w:p>
    <w:p w14:paraId="251D7E8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地面先清扫，再用拖把清拖干净、无污渍、无杂物。</w:t>
      </w:r>
    </w:p>
    <w:p w14:paraId="5BEFD1A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检查照明、空调等设施，确保正常工作。</w:t>
      </w:r>
    </w:p>
    <w:p w14:paraId="4324B82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做好开会时的茶水、果点供应和会议用品摆放。</w:t>
      </w:r>
    </w:p>
    <w:p w14:paraId="27B4B7B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尽力做好服务工作，确保开会时各项工作有序进行。</w:t>
      </w:r>
    </w:p>
    <w:p w14:paraId="4D226D6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11、地下室（含车库）的保洁：</w:t>
      </w:r>
    </w:p>
    <w:p w14:paraId="1C81B6B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每周清扫一次，地面无垃圾、水渍。</w:t>
      </w:r>
    </w:p>
    <w:p w14:paraId="059E05A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墙体无蜘蛛网、无浮尘。</w:t>
      </w:r>
    </w:p>
    <w:p w14:paraId="4F3FD2D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各种管道、反角镜等附属设施无锈蚀、无浮尘。</w:t>
      </w:r>
    </w:p>
    <w:p w14:paraId="615177C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（三）绿地管护内容要求及标准：</w:t>
      </w:r>
    </w:p>
    <w:p w14:paraId="02B93B3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1、养护内容要求：</w:t>
      </w:r>
    </w:p>
    <w:p w14:paraId="4B60E0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修剪：根据各类植物的生长特点、立地环境、景观要求，预先制订月历式修剪实施方案，方案中有详细注明修剪强度、修剪时间、修剪强度，院內紫薇、皂荚等古树名木要“一树一方案”，严格按照方案制定的操作规程适时进行，对院内乔木、大型灌木萌生的不定芽要及时清除，促使树木形态美观、营养集中。</w:t>
      </w:r>
    </w:p>
    <w:p w14:paraId="50F896B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（2）施肥：根据各类植物的生长特点及植物对肥料的需求进行作业，每年施肥次数≥2次，新种植物视生长情况，适时适量施肥，以保障各类植物的生长旺盛达到一定的景观效果。</w:t>
      </w:r>
    </w:p>
    <w:p w14:paraId="61E72AF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（3）除草：各类绿地、树穴、绿带要结合松土及时清理各类杂草，化学除草剂每年使用≥2次，要以人工灭草为主。</w:t>
      </w:r>
    </w:p>
    <w:p w14:paraId="75ECB4A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（4）病虫害防治：根据各类植物的寄生对象及时做好预测预报，及时采取措施防治；以灭幼脲、高氯等生物性农药为主使用，剧毒及国家明令禁止农药坚决不能使用。</w:t>
      </w:r>
    </w:p>
    <w:p w14:paraId="07D2753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（5）抗旱、抗涝：旱季及汛期要及时进行灌溉和排涝，不能有因干旱致植物死亡现象发生，汛期绿地低洼积水不能超过2天，长期积水区要加埋排涝管道，防止植物受损。</w:t>
      </w:r>
    </w:p>
    <w:p w14:paraId="61AC707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2、管护期内，供应商需按照园林一级养护内容服务标准进行作业，养护工具及设备有供应商提供，确保检察院园林养护达到一级标准，具体如下：</w:t>
      </w:r>
    </w:p>
    <w:p w14:paraId="68949DE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（1）园林植物达到：</w:t>
      </w:r>
    </w:p>
    <w:p w14:paraId="4071D40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生长势：健壮</w:t>
      </w:r>
    </w:p>
    <w:p w14:paraId="6F9C84F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叶子健壮：①叶色浓绿肥厚、在正常的条件下不黄叶，不焦叶、不卷叶、不落叶，叶上无虫尿、虫网灰尘；②被啃咬的叶片最严重的每株在5%以下(包括5%，以下同)。</w:t>
      </w:r>
    </w:p>
    <w:p w14:paraId="16EBF53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枝、干健壮：</w:t>
      </w:r>
    </w:p>
    <w:p w14:paraId="122638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无明显枯枝、死权、枝条粗壮，过冬前新梢木质化；</w:t>
      </w:r>
    </w:p>
    <w:p w14:paraId="38C7498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无蛀干害虫的活卵活虫和蛀干痕迹发生</w:t>
      </w:r>
    </w:p>
    <w:p w14:paraId="473809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介壳虫最严重处主枝干上100平方厘米1头活虫以下(包括1头，以下同)，较细的枝条每尺长的一段上在5头活虫以下(包括5头，以下同);株数都在2%以下(包括2%，以下同)。</w:t>
      </w:r>
    </w:p>
    <w:p w14:paraId="4A934A8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树冠完整：分支点合适，主侧枝分布均称和数量适宜、内膛不乱、通风透光。</w:t>
      </w:r>
    </w:p>
    <w:p w14:paraId="33A1F10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措施好：按一级技术措施要求认真进行养护。</w:t>
      </w:r>
    </w:p>
    <w:p w14:paraId="5933D5E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草坪覆盖率应基本达到100%；草坪内杂草控制在10%以内；生长茂盛颜色正常，不枯黄；每年修剪暖地型6次以上，冷地型15次以上；草坪管理精细生长旺盛，无病虫害、无秃斑露土现象。</w:t>
      </w:r>
    </w:p>
    <w:p w14:paraId="1DDBC87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（2）行道树和绿地内无死树，树木修剪合理，树形美观，能及时很好地解决树木与电线、建筑物、交通等之间的矛盾。</w:t>
      </w:r>
    </w:p>
    <w:p w14:paraId="1626C2C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（3）绿化生产垃圾(如：树枝、树叶、草沫等)重点地区路段能做到随产随清，其它地区和路段做到日产日清;绿地整洁，无砖石瓦块、筐和塑料袋等废弃物，并做到经常保洁。</w:t>
      </w:r>
    </w:p>
    <w:p w14:paraId="1B4A59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（4）木廊、亭台、栏杆、园路、井盖和牌饰等园林设施完整，做到及时维护和油饰。</w:t>
      </w:r>
    </w:p>
    <w:p w14:paraId="7165019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无明显地人为损坏，绿地、草坪内无堆物堆料、搭棚或侵占等；行道树树干上无钉栓刻画的现象，树下距树干2米范围内无堆物堆料、搭棚设摊、圈栏等影响树木养护管理和生长的现象（2米以内如有），则应有保护措施。</w:t>
      </w:r>
    </w:p>
    <w:p w14:paraId="61B41C9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养护期内，对于办公区域内的濒死树木及病害严重的乔灌木（供应商接收前，与采购人共同协商确定），有义务对其进行救治防治（特殊防治费用另议），但不保证成活，除此类情况以外，乙方自进场后保证养护对象百分百的成活率，否则补种同规格同类树木。</w:t>
      </w:r>
    </w:p>
    <w:p w14:paraId="1321F09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1、管护中常用农药、化肥、工人护具、常用园林机械（如扫地机、修剪机、绿篱机、剪草机、药雾机）和油料及苗木移栽所用支杆、草绳等均由供应商自行提供。</w:t>
      </w:r>
    </w:p>
    <w:p w14:paraId="7A9DC3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2、供应商合同签订前向采购人出具《绿化养护管理计划/实施方案》，并每月向采购人定期汇报计划落实情况及工作措施。</w:t>
      </w:r>
    </w:p>
    <w:p w14:paraId="3751E92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3、供应商必须重视安全生产，确保上岗人员均经过培训，工人护具配备齐全，养护期间不出安全责任事故。养护人员由于养护操作造成的安全责任事故，由供应商承担一切责任及损失。</w:t>
      </w:r>
    </w:p>
    <w:p w14:paraId="1CE98E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（四）水电维护工作</w:t>
      </w:r>
    </w:p>
    <w:p w14:paraId="3010E54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1、水电设备维护</w:t>
      </w:r>
    </w:p>
    <w:p w14:paraId="3CCB129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（1）及时维护好电路、水路、灯具、水暖用具及日常办公桌椅。做好日常巡视、检测、保养工作，保障用电、用水和办公正常，发现故障及时上报甲方并维修，维修耗材采购方统一购买。</w:t>
      </w:r>
    </w:p>
    <w:p w14:paraId="583BD65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（2）禁止违章作业，防止线路和人身安全事故的发生，及时维护好供电、供水设备保障正常供水供电。</w:t>
      </w:r>
    </w:p>
    <w:p w14:paraId="682A7D2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（3）每天要检查办公楼灯具和路灯、电器设备的实际使用情况，发现问题及时解决。负责水路、电路等小设备的安装和维修工作。</w:t>
      </w:r>
    </w:p>
    <w:p w14:paraId="684A12C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2、二次供水设施维护</w:t>
      </w:r>
    </w:p>
    <w:p w14:paraId="5BA2A51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二次供水设施维护部门应严格按国家建设部第156号令《城市供水水质管理规定》、《河南省城市供水二次供水管理规定》和《南阳市城市饮用水二次供水管理办法》的规定，在协议期内对二次供水设施进行清洗、消毒，全年4次清洗、全年8次定期消毒、全年4次水质检测。</w:t>
      </w:r>
    </w:p>
    <w:p w14:paraId="01F2D1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二次供水设施维护部门有义务严格按照清洗流程为用户提供服务。具体为：清理蓄水池内淤泥等杂物；用硬刷等清除池内四壁污染物；用清洗机对池内四壁进行冲刷并消毒；用清水对池内四壁进行循环冲洗，直至清水；全面消毒；在用户在场情况下，在用户监督下，采水样化验；送呈水质检测报告。</w:t>
      </w:r>
    </w:p>
    <w:p w14:paraId="7E317F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二次供水设施维护部门严格按照清洗维护标准，配合用户维护二次供水设施水质。具体为：在现场清洗消毒后一周内为用户投放缓释消毒发生器（适用于水池、水箱、水塔），并向发生器内放置消毒药片。在维护期内，每季度向缓释消毒发生器内放置消毒药片。</w:t>
      </w:r>
    </w:p>
    <w:p w14:paraId="6EA8BB4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3、完成领导交办的其他任务。</w:t>
      </w:r>
    </w:p>
    <w:p w14:paraId="2EE2DBB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（五）电梯维保服务</w:t>
      </w:r>
    </w:p>
    <w:p w14:paraId="4DD5A97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电梯数量：8部</w:t>
      </w:r>
    </w:p>
    <w:p w14:paraId="5EE855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服务内容：</w:t>
      </w:r>
    </w:p>
    <w:p w14:paraId="01D240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1、根据《特种设备安全监察条例》及用户要求，提供每15天1次的例行保养，包括检查、清洁、调整及润滑设备的各类部件，按照河南省质量技术监督局颁布的《电梯保养周期表》执行。</w:t>
      </w:r>
    </w:p>
    <w:p w14:paraId="30015CD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2、在规定的维保期限内因产品质量的原因，出现零部件的损坏，以书面形式通知业主及时购买或更换，如因用户使用不当造成的损坏，与用户协商解决。</w:t>
      </w:r>
    </w:p>
    <w:p w14:paraId="5751529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3、自行负责保养及维修所需的材料如工具、100元以下专用材料、（不包括润滑剂、照明灯具、维修配件，由用户提供）、仪器、仪表及交通设施等等。</w:t>
      </w:r>
    </w:p>
    <w:p w14:paraId="1FB9A5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4、提供咨询服务，定期向用户通报设备运行情况，并免费提供法定工作时间内的及时热线服务。</w:t>
      </w:r>
    </w:p>
    <w:p w14:paraId="4BA9FA2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5、负责实施当地政府监察部门年检前后的整改工作费用由用户方承担，并达到当地政府监察部门的各项年检标准。年检所发生的部件维修的处理，按第2条规定执行。</w:t>
      </w:r>
    </w:p>
    <w:p w14:paraId="034576C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6、负责24小时紧急抢修服务，接修电话后半小时内直到现场进行抢修。</w:t>
      </w:r>
    </w:p>
    <w:p w14:paraId="1806FC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7、遵守用户的规章制度，服从用户的管理。如因违反用户的规章制度和服务不周所产生不良后果以及罚款，维护方自行承担。</w:t>
      </w:r>
    </w:p>
    <w:p w14:paraId="1348D9E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在受检日前一个月内按相关规定主动向政府监察部门申报电梯年检，年检费用含在维保费用中。</w:t>
      </w:r>
    </w:p>
    <w:p w14:paraId="24BC5C0A">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(六)会议及办案区住宿房间服务</w:t>
      </w:r>
    </w:p>
    <w:p w14:paraId="0F60B9AB">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1、负责所有会议室的保洁；</w:t>
      </w:r>
    </w:p>
    <w:p w14:paraId="4BCF9448">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2、负责会议时的茶水、果点、会议用品、桌椅摆放、照明等保障工作；</w:t>
      </w:r>
    </w:p>
    <w:p w14:paraId="4F4A1DC1">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3、负责办案区住宿房间布草保洁工作，工作需要住人时，每天需对住宿房间的做好布草保洁工作，不住人时，每月需对住宿房间至少做一遍保洁工作；</w:t>
      </w:r>
    </w:p>
    <w:p w14:paraId="40969D9B">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4、负责传达室报刊信件的分发工作，保证按质按量的完成所分配的任务；</w:t>
      </w:r>
    </w:p>
    <w:p w14:paraId="0D450D24">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5、完成领导交办的其他工作。</w:t>
      </w:r>
    </w:p>
    <w:p w14:paraId="2B4F4A14">
      <w:pPr>
        <w:ind w:firstLine="476" w:firstLineChars="200"/>
        <w:rPr>
          <w:rFonts w:hint="eastAsia" w:asciiTheme="minorEastAsia" w:hAnsiTheme="minorEastAsia" w:eastAsiaTheme="minorEastAsia" w:cstheme="minorEastAsia"/>
          <w:spacing w:val="-1"/>
          <w:sz w:val="24"/>
          <w:szCs w:val="24"/>
          <w:lang w:val="en-US" w:eastAsia="zh-CN"/>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2AF73EF">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1、</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须明确本项目（服务）的项目负责人、服务人员名单、</w:t>
      </w:r>
      <w:r>
        <w:rPr>
          <w:rFonts w:hint="eastAsia" w:ascii="宋体" w:hAnsi="宋体" w:eastAsia="宋体" w:cs="宋体"/>
          <w:kern w:val="2"/>
          <w:sz w:val="24"/>
          <w:szCs w:val="24"/>
          <w:highlight w:val="none"/>
          <w:lang w:eastAsia="zh-CN" w:bidi="ar-SA"/>
        </w:rPr>
        <w:t>人员编制方案</w:t>
      </w:r>
      <w:r>
        <w:rPr>
          <w:rFonts w:hint="eastAsia" w:ascii="宋体" w:hAnsi="宋体" w:eastAsia="宋体" w:cs="宋体"/>
          <w:bCs/>
          <w:kern w:val="2"/>
          <w:sz w:val="24"/>
          <w:szCs w:val="24"/>
          <w:highlight w:val="none"/>
          <w:lang w:eastAsia="zh-CN" w:bidi="ar-SA"/>
        </w:rPr>
        <w:t>和人员</w:t>
      </w:r>
      <w:r>
        <w:rPr>
          <w:rFonts w:hint="eastAsia" w:ascii="宋体" w:hAnsi="宋体" w:eastAsia="宋体" w:cs="宋体"/>
          <w:sz w:val="24"/>
          <w:szCs w:val="24"/>
          <w:highlight w:val="none"/>
          <w:lang w:eastAsia="zh-CN"/>
        </w:rPr>
        <w:t>基本情况等。</w:t>
      </w:r>
    </w:p>
    <w:p w14:paraId="26033AA6">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2、</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须提供本项目服务方案、管理制度等。</w:t>
      </w:r>
    </w:p>
    <w:p w14:paraId="5B649E0B">
      <w:pPr>
        <w:autoSpaceDE w:val="0"/>
        <w:autoSpaceDN w:val="0"/>
        <w:adjustRightInd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3、本项目服务质量：合格，满足采购人要求。</w:t>
      </w:r>
    </w:p>
    <w:p w14:paraId="14D3538E">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4、合同的签订：中标人应在收到南阳市政府采购中心签发的《中标通知书》后及时和采购人签订服务合同。</w:t>
      </w:r>
    </w:p>
    <w:p w14:paraId="6A0A8AB9">
      <w:pPr>
        <w:widowControl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5、服务期限：</w:t>
      </w: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kern w:val="2"/>
          <w:sz w:val="24"/>
          <w:szCs w:val="24"/>
          <w:highlight w:val="none"/>
          <w:lang w:eastAsia="zh-CN" w:bidi="ar-SA"/>
        </w:rPr>
        <w:t>年。</w:t>
      </w:r>
    </w:p>
    <w:p w14:paraId="38E76ABB">
      <w:pPr>
        <w:widowControl w:val="0"/>
        <w:spacing w:line="360" w:lineRule="auto"/>
        <w:ind w:firstLine="480" w:firstLineChars="200"/>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eastAsia="zh-CN" w:bidi="ar-SA"/>
        </w:rPr>
        <w:t>6、付款方式及条件：每</w:t>
      </w:r>
      <w:r>
        <w:rPr>
          <w:rFonts w:hint="eastAsia" w:ascii="宋体" w:hAnsi="宋体" w:eastAsia="宋体" w:cs="宋体"/>
          <w:bCs/>
          <w:kern w:val="2"/>
          <w:sz w:val="24"/>
          <w:szCs w:val="24"/>
          <w:highlight w:val="none"/>
          <w:lang w:val="en-US" w:eastAsia="zh-CN" w:bidi="ar-SA"/>
        </w:rPr>
        <w:t>月月</w:t>
      </w:r>
      <w:r>
        <w:rPr>
          <w:rFonts w:hint="eastAsia" w:ascii="宋体" w:hAnsi="宋体" w:eastAsia="宋体" w:cs="宋体"/>
          <w:bCs/>
          <w:kern w:val="2"/>
          <w:sz w:val="24"/>
          <w:szCs w:val="24"/>
          <w:highlight w:val="none"/>
          <w:lang w:eastAsia="zh-CN" w:bidi="ar-SA"/>
        </w:rPr>
        <w:t>末甲方验收合同约定的服务内容，根据考评情况支付当</w:t>
      </w:r>
      <w:r>
        <w:rPr>
          <w:rFonts w:hint="eastAsia" w:ascii="宋体" w:hAnsi="宋体" w:eastAsia="宋体" w:cs="宋体"/>
          <w:bCs/>
          <w:kern w:val="2"/>
          <w:sz w:val="24"/>
          <w:szCs w:val="24"/>
          <w:highlight w:val="none"/>
          <w:lang w:val="en-US" w:eastAsia="zh-CN" w:bidi="ar-SA"/>
        </w:rPr>
        <w:t>月</w:t>
      </w:r>
      <w:r>
        <w:rPr>
          <w:rFonts w:hint="eastAsia" w:ascii="宋体" w:hAnsi="宋体" w:eastAsia="宋体" w:cs="宋体"/>
          <w:bCs/>
          <w:kern w:val="2"/>
          <w:sz w:val="24"/>
          <w:szCs w:val="24"/>
          <w:highlight w:val="none"/>
          <w:lang w:eastAsia="zh-CN" w:bidi="ar-SA"/>
        </w:rPr>
        <w:t>服务费。</w:t>
      </w:r>
    </w:p>
    <w:p w14:paraId="332379EA">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7、其他要求：</w:t>
      </w:r>
    </w:p>
    <w:p w14:paraId="671CA7ED">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招标最后成交价为外包（购买）服务费。包括服务期间的消耗品、保洁、绿化管护作业设备及养护费、二次供水清洗消毒、水质检测以及人员的业务培训、健康检查、服装以及工资福利、奖金、保险金等各项费用，承担用工全部费用；公司与所有物业服务人员建立合法劳务关系，自行承担因劳务关系产生的各种法律责任，甲方（南阳市人民检察院）不承担任何责任。</w:t>
      </w:r>
    </w:p>
    <w:p w14:paraId="2FEEE043">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（2）投标人须明确本项目（指物业服务）的管理人员、服务人员、工作人员名单。</w:t>
      </w:r>
    </w:p>
    <w:p w14:paraId="45B58DB0">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（3）投标人须提供本项目物业服务的服务方案、物业保洁需投入的人员、设备和材料清单、服务及质量保证等。</w:t>
      </w:r>
    </w:p>
    <w:p w14:paraId="2B49A489">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（4）物业工具由中标人自行保障，如洗涤用品、清洁用品等。</w:t>
      </w:r>
    </w:p>
    <w:p w14:paraId="32B04656">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（5）本项目物业服务质量：合格，满足采购人要求。</w:t>
      </w:r>
    </w:p>
    <w:p w14:paraId="3672A638">
      <w:pPr>
        <w:widowControl w:val="0"/>
        <w:spacing w:line="360" w:lineRule="auto"/>
        <w:ind w:firstLine="480" w:firstLineChars="200"/>
        <w:rPr>
          <w:rFonts w:hint="default"/>
          <w:highlight w:val="none"/>
          <w:lang w:val="en-US" w:eastAsia="zh-CN"/>
        </w:rPr>
      </w:pPr>
      <w:r>
        <w:rPr>
          <w:rFonts w:hint="eastAsia" w:ascii="宋体" w:hAnsi="宋体" w:eastAsia="宋体" w:cs="宋体"/>
          <w:bCs/>
          <w:kern w:val="2"/>
          <w:sz w:val="24"/>
          <w:szCs w:val="24"/>
          <w:highlight w:val="none"/>
          <w:lang w:val="en-US" w:eastAsia="zh-CN" w:bidi="ar-SA"/>
        </w:rPr>
        <w:t>（6）合同的签订：中标人应在收到南阳市政府采购中心签发的《中标通知书》后及时和采购人签订服务合同。</w:t>
      </w:r>
    </w:p>
    <w:p w14:paraId="33441F4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7B0AAF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br w:type="page"/>
      </w: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3"/>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3"/>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3"/>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3"/>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9F0A91">
            <w:pPr>
              <w:pStyle w:val="33"/>
              <w:rPr>
                <w:rFonts w:ascii="宋体" w:hAnsi="宋体" w:eastAsia="宋体" w:cs="宋体"/>
                <w:sz w:val="24"/>
                <w:szCs w:val="24"/>
                <w:highlight w:val="none"/>
                <w:lang w:eastAsia="zh-CN"/>
              </w:rPr>
            </w:pPr>
            <w:r>
              <w:rPr>
                <w:rFonts w:hint="eastAsia" w:ascii="宋体" w:hAnsi="宋体" w:eastAsia="宋体" w:cs="宋体"/>
                <w:spacing w:val="14"/>
                <w:sz w:val="24"/>
                <w:szCs w:val="24"/>
                <w:lang w:eastAsia="zh-CN"/>
              </w:rPr>
              <w:t>1、本项目采购标的按照中小企业划分标准属于</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u w:val="single"/>
                <w:lang w:val="en-US" w:eastAsia="zh-CN"/>
              </w:rPr>
              <w:t>物业管理</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lang w:eastAsia="zh-CN"/>
              </w:rPr>
              <w:t>；</w:t>
            </w:r>
            <w:r>
              <w:rPr>
                <w:rFonts w:hint="eastAsia" w:ascii="宋体" w:hAnsi="宋体" w:eastAsia="宋体" w:cs="宋体"/>
                <w:spacing w:val="29"/>
                <w:sz w:val="24"/>
                <w:szCs w:val="24"/>
                <w:highlight w:val="none"/>
                <w:lang w:eastAsia="zh-CN"/>
              </w:rPr>
              <w:t>☑本项目专门面向中小企业采购。</w:t>
            </w:r>
          </w:p>
          <w:p w14:paraId="7964FB1C">
            <w:pPr>
              <w:kinsoku/>
              <w:autoSpaceDE/>
              <w:autoSpaceDN/>
              <w:adjustRightInd/>
              <w:snapToGrid/>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spacing w:val="29"/>
                <w:sz w:val="24"/>
                <w:szCs w:val="24"/>
                <w:highlight w:val="none"/>
                <w:lang w:val="en-US" w:eastAsia="zh-CN"/>
              </w:rPr>
              <w:t>15</w:t>
            </w:r>
            <w:r>
              <w:rPr>
                <w:rFonts w:hint="eastAsia" w:ascii="宋体" w:hAnsi="宋体" w:eastAsia="宋体" w:cs="宋体"/>
                <w:spacing w:val="29"/>
                <w:sz w:val="24"/>
                <w:szCs w:val="24"/>
                <w:highlight w:val="none"/>
                <w:lang w:eastAsia="zh-CN"/>
              </w:rPr>
              <w:t>%。</w:t>
            </w:r>
          </w:p>
          <w:p w14:paraId="556F7ADA">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宋体" w:hAnsi="宋体" w:eastAsia="宋体" w:cs="宋体"/>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3"/>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3"/>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left"/>
              <w:rPr>
                <w:rFonts w:hint="eastAsia" w:asciiTheme="minorEastAsia" w:hAnsiTheme="minorEastAsia" w:eastAsiaTheme="minorEastAsia" w:cstheme="minorEastAsia"/>
                <w:sz w:val="24"/>
                <w:szCs w:val="24"/>
                <w:lang w:eastAsia="zh-CN"/>
              </w:rPr>
            </w:pPr>
            <w:r>
              <w:rPr>
                <w:rFonts w:hint="eastAsia" w:ascii="宋体" w:hAnsi="宋体" w:eastAsia="宋体" w:cs="宋体"/>
                <w:b w:val="0"/>
                <w:bCs/>
                <w:sz w:val="28"/>
                <w:szCs w:val="28"/>
                <w:u w:val="single"/>
                <w:lang w:eastAsia="zh-CN"/>
              </w:rPr>
              <w:t xml:space="preserve"> </w:t>
            </w:r>
            <w:r>
              <w:rPr>
                <w:rFonts w:hint="eastAsia" w:asciiTheme="minorEastAsia" w:hAnsiTheme="minorEastAsia" w:eastAsiaTheme="minorEastAsia" w:cstheme="minorEastAsia"/>
                <w:b w:val="0"/>
                <w:bCs/>
                <w:sz w:val="24"/>
                <w:szCs w:val="24"/>
                <w:u w:val="single"/>
                <w:lang w:val="en-US" w:eastAsia="zh-CN"/>
              </w:rPr>
              <w:t xml:space="preserve">468 </w:t>
            </w:r>
            <w:r>
              <w:rPr>
                <w:rFonts w:hint="eastAsia" w:asciiTheme="minorEastAsia" w:hAnsiTheme="minorEastAsia" w:eastAsiaTheme="minorEastAsia" w:cstheme="minorEastAsia"/>
                <w:b w:val="0"/>
                <w:bCs/>
                <w:sz w:val="24"/>
                <w:szCs w:val="24"/>
                <w:lang w:eastAsia="zh-CN"/>
              </w:rPr>
              <w:t>万元</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color w:val="000000"/>
                <w:sz w:val="24"/>
                <w:szCs w:val="24"/>
                <w:lang w:val="en-US" w:eastAsia="zh-CN"/>
              </w:rPr>
              <w:t>3</w:t>
            </w:r>
            <w:r>
              <w:rPr>
                <w:rFonts w:hint="eastAsia" w:asciiTheme="minorEastAsia" w:hAnsiTheme="minorEastAsia" w:eastAsiaTheme="minorEastAsia" w:cstheme="minorEastAsia"/>
                <w:b w:val="0"/>
                <w:bCs/>
                <w:color w:val="000000"/>
                <w:sz w:val="24"/>
                <w:szCs w:val="24"/>
                <w:lang w:eastAsia="zh-CN"/>
              </w:rPr>
              <w:t>年</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8450553">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4355A955">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468</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lang w:eastAsia="zh-CN"/>
        </w:rPr>
        <w:t>河南省南阳市人民检察院物业服务项目</w:t>
      </w:r>
      <w:r>
        <w:rPr>
          <w:rFonts w:hint="eastAsia" w:eastAsia="宋体" w:asciiTheme="minorEastAsia" w:hAnsiTheme="minorEastAsia" w:cstheme="minorEastAsia"/>
          <w:sz w:val="24"/>
          <w:lang w:eastAsia="zh-CN"/>
        </w:rPr>
        <w:t>。</w:t>
      </w:r>
    </w:p>
    <w:p w14:paraId="537E018C">
      <w:pPr>
        <w:pStyle w:val="31"/>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FAAA961">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B025EC">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4208A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868C47">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D6A442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0FD146">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0F4F971">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C485F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367669">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1D765F">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DBBBD8D">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FB11AAB">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1"/>
        <w:rPr>
          <w:rFonts w:hint="eastAsia"/>
          <w:lang w:val="en-US" w:eastAsia="zh-CN"/>
        </w:rPr>
      </w:pPr>
    </w:p>
    <w:p w14:paraId="68CA1E7A">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D379B8">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3C22A52">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139A113">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8FA0ECE">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D02667B">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7FA2419">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3"/>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3"/>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3"/>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3"/>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2E914D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0C50B">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51FB964">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3"/>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3"/>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3"/>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3"/>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3"/>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3"/>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3"/>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3"/>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3"/>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3"/>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3"/>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3"/>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3"/>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3"/>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25"/>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2"/>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F41906F">
      <w:pPr>
        <w:pStyle w:val="2"/>
        <w:rPr>
          <w:rFonts w:hint="eastAsia" w:ascii="宋体" w:hAnsi="宋体" w:eastAsia="宋体" w:cs="宋体"/>
          <w:b/>
          <w:bCs/>
          <w:snapToGrid w:val="0"/>
          <w:color w:val="000000"/>
          <w:kern w:val="2"/>
          <w:sz w:val="24"/>
          <w:szCs w:val="24"/>
          <w:lang w:val="en-US" w:eastAsia="zh-CN" w:bidi="ar-SA"/>
        </w:rPr>
      </w:pPr>
    </w:p>
    <w:p w14:paraId="1BA02136">
      <w:pPr>
        <w:pStyle w:val="2"/>
        <w:jc w:val="center"/>
        <w:rPr>
          <w:rFonts w:hint="eastAsia" w:ascii="宋体" w:hAnsi="宋体" w:eastAsia="宋体" w:cs="宋体"/>
          <w:b/>
          <w:bCs/>
          <w:snapToGrid w:val="0"/>
          <w:color w:val="000000"/>
          <w:kern w:val="2"/>
          <w:sz w:val="24"/>
          <w:szCs w:val="24"/>
          <w:lang w:val="en-US" w:eastAsia="zh-CN" w:bidi="ar-SA"/>
        </w:rPr>
      </w:pPr>
    </w:p>
    <w:p w14:paraId="33C9B014">
      <w:pPr>
        <w:pStyle w:val="2"/>
        <w:jc w:val="center"/>
        <w:rPr>
          <w:rFonts w:hint="eastAsia" w:ascii="宋体" w:hAnsi="宋体" w:eastAsia="宋体" w:cs="宋体"/>
          <w:b/>
          <w:bCs/>
          <w:snapToGrid w:val="0"/>
          <w:color w:val="000000"/>
          <w:kern w:val="2"/>
          <w:sz w:val="24"/>
          <w:szCs w:val="24"/>
          <w:lang w:val="en-US" w:eastAsia="zh-CN" w:bidi="ar-SA"/>
        </w:rPr>
      </w:pPr>
    </w:p>
    <w:p w14:paraId="40F39313">
      <w:pPr>
        <w:pStyle w:val="2"/>
        <w:jc w:val="center"/>
        <w:rPr>
          <w:rFonts w:hint="eastAsia" w:ascii="宋体" w:hAnsi="宋体" w:eastAsia="宋体" w:cs="宋体"/>
          <w:b/>
          <w:bCs/>
          <w:snapToGrid w:val="0"/>
          <w:color w:val="000000"/>
          <w:kern w:val="2"/>
          <w:sz w:val="24"/>
          <w:szCs w:val="24"/>
          <w:lang w:val="en-US" w:eastAsia="zh-CN" w:bidi="ar-SA"/>
        </w:rPr>
      </w:pPr>
    </w:p>
    <w:p w14:paraId="4DB2A1D6">
      <w:pPr>
        <w:pStyle w:val="2"/>
        <w:jc w:val="center"/>
        <w:rPr>
          <w:rFonts w:hint="eastAsia" w:ascii="宋体" w:hAnsi="宋体" w:eastAsia="宋体" w:cs="宋体"/>
          <w:b/>
          <w:bCs/>
          <w:snapToGrid w:val="0"/>
          <w:color w:val="000000"/>
          <w:kern w:val="2"/>
          <w:sz w:val="24"/>
          <w:szCs w:val="24"/>
          <w:lang w:val="en-US" w:eastAsia="zh-CN" w:bidi="ar-SA"/>
        </w:rPr>
      </w:pPr>
    </w:p>
    <w:p w14:paraId="55A1EE33">
      <w:pPr>
        <w:pStyle w:val="2"/>
        <w:jc w:val="center"/>
        <w:rPr>
          <w:rFonts w:hint="eastAsia" w:ascii="宋体" w:hAnsi="宋体" w:eastAsia="宋体" w:cs="宋体"/>
          <w:b/>
          <w:bCs/>
          <w:snapToGrid w:val="0"/>
          <w:color w:val="000000"/>
          <w:kern w:val="2"/>
          <w:sz w:val="24"/>
          <w:szCs w:val="24"/>
          <w:lang w:val="en-US" w:eastAsia="zh-CN" w:bidi="ar-SA"/>
        </w:rPr>
      </w:pPr>
    </w:p>
    <w:p w14:paraId="380F529E">
      <w:pPr>
        <w:pStyle w:val="2"/>
        <w:jc w:val="center"/>
        <w:rPr>
          <w:rFonts w:hint="eastAsia" w:ascii="宋体" w:hAnsi="宋体" w:eastAsia="宋体" w:cs="宋体"/>
          <w:b/>
          <w:bCs/>
          <w:snapToGrid w:val="0"/>
          <w:color w:val="000000"/>
          <w:kern w:val="2"/>
          <w:sz w:val="24"/>
          <w:szCs w:val="24"/>
          <w:lang w:val="en-US" w:eastAsia="zh-CN" w:bidi="ar-SA"/>
        </w:rPr>
      </w:pPr>
    </w:p>
    <w:p w14:paraId="683AD0C3">
      <w:pPr>
        <w:pStyle w:val="2"/>
        <w:jc w:val="center"/>
        <w:rPr>
          <w:rFonts w:hint="eastAsia" w:ascii="宋体" w:hAnsi="宋体" w:eastAsia="宋体" w:cs="宋体"/>
          <w:b/>
          <w:bCs/>
          <w:snapToGrid w:val="0"/>
          <w:color w:val="000000"/>
          <w:kern w:val="2"/>
          <w:sz w:val="24"/>
          <w:szCs w:val="24"/>
          <w:lang w:val="en-US" w:eastAsia="zh-CN" w:bidi="ar-SA"/>
        </w:rPr>
      </w:pPr>
    </w:p>
    <w:p w14:paraId="1E54A579">
      <w:pPr>
        <w:pStyle w:val="2"/>
        <w:jc w:val="center"/>
        <w:rPr>
          <w:rFonts w:hint="eastAsia" w:ascii="宋体" w:hAnsi="宋体" w:eastAsia="宋体" w:cs="宋体"/>
          <w:b/>
          <w:bCs/>
          <w:snapToGrid w:val="0"/>
          <w:color w:val="000000"/>
          <w:kern w:val="2"/>
          <w:sz w:val="24"/>
          <w:szCs w:val="24"/>
          <w:lang w:val="en-US" w:eastAsia="zh-CN" w:bidi="ar-SA"/>
        </w:rPr>
      </w:pPr>
    </w:p>
    <w:p w14:paraId="38A2B849">
      <w:pPr>
        <w:pStyle w:val="2"/>
        <w:jc w:val="center"/>
        <w:rPr>
          <w:rFonts w:hint="eastAsia" w:ascii="宋体" w:hAnsi="宋体" w:eastAsia="宋体" w:cs="宋体"/>
          <w:b/>
          <w:bCs/>
          <w:snapToGrid w:val="0"/>
          <w:color w:val="000000"/>
          <w:kern w:val="2"/>
          <w:sz w:val="24"/>
          <w:szCs w:val="24"/>
          <w:lang w:val="en-US" w:eastAsia="zh-CN" w:bidi="ar-SA"/>
        </w:rPr>
      </w:pPr>
    </w:p>
    <w:p w14:paraId="2C76DDBF">
      <w:pPr>
        <w:pStyle w:val="2"/>
        <w:jc w:val="both"/>
        <w:rPr>
          <w:rFonts w:hint="eastAsia" w:ascii="宋体" w:hAnsi="宋体" w:eastAsia="宋体" w:cs="宋体"/>
          <w:b/>
          <w:bCs/>
          <w:snapToGrid w:val="0"/>
          <w:color w:val="000000"/>
          <w:kern w:val="2"/>
          <w:sz w:val="24"/>
          <w:szCs w:val="24"/>
          <w:lang w:val="en-US" w:eastAsia="zh-CN" w:bidi="ar-SA"/>
        </w:rPr>
      </w:pPr>
    </w:p>
    <w:p w14:paraId="2FBB479D">
      <w:pPr>
        <w:pStyle w:val="2"/>
        <w:jc w:val="center"/>
        <w:rPr>
          <w:rFonts w:hint="eastAsia" w:ascii="宋体" w:hAnsi="宋体" w:eastAsia="宋体" w:cs="宋体"/>
          <w:b/>
          <w:bCs/>
          <w:snapToGrid w:val="0"/>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p w14:paraId="27549CA3">
      <w:pPr>
        <w:pStyle w:val="2"/>
        <w:rPr>
          <w:rFonts w:hint="eastAsia" w:ascii="宋体" w:hAnsi="宋体" w:eastAsia="宋体" w:cs="宋体"/>
          <w:b/>
          <w:bCs/>
          <w:snapToGrid w:val="0"/>
          <w:color w:val="000000"/>
          <w:kern w:val="2"/>
          <w:sz w:val="24"/>
          <w:szCs w:val="24"/>
          <w:lang w:val="en-US" w:eastAsia="zh-CN" w:bidi="ar-SA"/>
        </w:rPr>
      </w:pPr>
    </w:p>
    <w:tbl>
      <w:tblPr>
        <w:tblStyle w:val="32"/>
        <w:tblW w:w="94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211"/>
        <w:gridCol w:w="717"/>
        <w:gridCol w:w="1753"/>
        <w:gridCol w:w="5015"/>
      </w:tblGrid>
      <w:tr w14:paraId="23F1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top"/>
          </w:tcPr>
          <w:p w14:paraId="074AC67D">
            <w:pPr>
              <w:keepNext w:val="0"/>
              <w:keepLines w:val="0"/>
              <w:pageBreakBefore w:val="0"/>
              <w:kinsoku w:val="0"/>
              <w:wordWrap/>
              <w:overflowPunct/>
              <w:topLinePunct w:val="0"/>
              <w:autoSpaceDE w:val="0"/>
              <w:autoSpaceDN w:val="0"/>
              <w:bidi w:val="0"/>
              <w:adjustRightInd w:val="0"/>
              <w:snapToGrid w:val="0"/>
              <w:spacing w:before="40" w:line="400" w:lineRule="exact"/>
              <w:ind w:left="198"/>
              <w:jc w:val="both"/>
              <w:textAlignment w:val="baseline"/>
              <w:rPr>
                <w:rFonts w:hint="eastAsia" w:ascii="仿宋" w:hAnsi="仿宋" w:eastAsia="仿宋" w:cs="仿宋"/>
                <w:b/>
                <w:bCs/>
                <w:sz w:val="22"/>
                <w:szCs w:val="22"/>
              </w:rPr>
            </w:pPr>
            <w:r>
              <w:rPr>
                <w:rFonts w:hint="eastAsia" w:ascii="仿宋" w:hAnsi="仿宋" w:eastAsia="仿宋" w:cs="仿宋"/>
                <w:b/>
                <w:bCs/>
                <w:spacing w:val="-3"/>
                <w:sz w:val="22"/>
                <w:szCs w:val="22"/>
              </w:rPr>
              <w:t>序号</w:t>
            </w:r>
          </w:p>
        </w:tc>
        <w:tc>
          <w:tcPr>
            <w:tcW w:w="1211" w:type="dxa"/>
            <w:noWrap w:val="0"/>
            <w:vAlign w:val="top"/>
          </w:tcPr>
          <w:p w14:paraId="25CF429F">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2"/>
                <w:sz w:val="22"/>
                <w:szCs w:val="22"/>
              </w:rPr>
              <w:t>评分因素</w:t>
            </w:r>
          </w:p>
        </w:tc>
        <w:tc>
          <w:tcPr>
            <w:tcW w:w="717" w:type="dxa"/>
            <w:noWrap w:val="0"/>
            <w:vAlign w:val="top"/>
          </w:tcPr>
          <w:p w14:paraId="0141CA71">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分值</w:t>
            </w:r>
          </w:p>
        </w:tc>
        <w:tc>
          <w:tcPr>
            <w:tcW w:w="1753" w:type="dxa"/>
            <w:noWrap w:val="0"/>
            <w:vAlign w:val="top"/>
          </w:tcPr>
          <w:p w14:paraId="0331E8CC">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2"/>
                <w:sz w:val="22"/>
                <w:szCs w:val="22"/>
              </w:rPr>
              <w:t>评分标准</w:t>
            </w:r>
          </w:p>
        </w:tc>
        <w:tc>
          <w:tcPr>
            <w:tcW w:w="5015" w:type="dxa"/>
            <w:noWrap w:val="0"/>
            <w:vAlign w:val="top"/>
          </w:tcPr>
          <w:p w14:paraId="00E8784F">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说明</w:t>
            </w:r>
          </w:p>
        </w:tc>
      </w:tr>
      <w:tr w14:paraId="15D3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center"/>
          </w:tcPr>
          <w:p w14:paraId="7C163D5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w:t>
            </w:r>
          </w:p>
        </w:tc>
        <w:tc>
          <w:tcPr>
            <w:tcW w:w="1211" w:type="dxa"/>
            <w:noWrap w:val="0"/>
            <w:vAlign w:val="center"/>
          </w:tcPr>
          <w:p w14:paraId="0A8C689B">
            <w:pPr>
              <w:keepNext w:val="0"/>
              <w:keepLines w:val="0"/>
              <w:pageBreakBefore w:val="0"/>
              <w:kinsoku/>
              <w:wordWrap w:val="0"/>
              <w:overflowPunct/>
              <w:topLinePunct w:val="0"/>
              <w:bidi w:val="0"/>
              <w:spacing w:line="360" w:lineRule="exact"/>
              <w:jc w:val="center"/>
              <w:rPr>
                <w:rFonts w:hint="eastAsia" w:ascii="仿宋" w:hAnsi="仿宋" w:eastAsia="仿宋" w:cs="仿宋"/>
                <w:b/>
                <w:bCs/>
                <w:spacing w:val="-3"/>
                <w:sz w:val="22"/>
                <w:szCs w:val="22"/>
                <w:highlight w:val="none"/>
              </w:rPr>
            </w:pPr>
            <w:r>
              <w:rPr>
                <w:rFonts w:hint="eastAsia" w:ascii="仿宋" w:hAnsi="仿宋" w:eastAsia="仿宋" w:cs="仿宋"/>
                <w:b/>
                <w:bCs/>
                <w:spacing w:val="-3"/>
                <w:sz w:val="22"/>
                <w:szCs w:val="22"/>
                <w:highlight w:val="none"/>
              </w:rPr>
              <w:t>投标报价</w:t>
            </w:r>
          </w:p>
          <w:p w14:paraId="6699AAB6">
            <w:pPr>
              <w:pStyle w:val="2"/>
              <w:rPr>
                <w:rFonts w:hint="default" w:eastAsia="仿宋"/>
                <w:lang w:val="en-US" w:eastAsia="zh-CN"/>
              </w:rPr>
            </w:pPr>
            <w:r>
              <w:rPr>
                <w:rFonts w:hint="eastAsia" w:ascii="仿宋" w:hAnsi="仿宋" w:eastAsia="仿宋" w:cs="仿宋"/>
                <w:b/>
                <w:bCs/>
                <w:spacing w:val="-3"/>
                <w:sz w:val="22"/>
                <w:szCs w:val="22"/>
                <w:highlight w:val="none"/>
                <w:lang w:val="en-US" w:eastAsia="zh-CN"/>
              </w:rPr>
              <w:t xml:space="preserve">  （10分）</w:t>
            </w:r>
          </w:p>
        </w:tc>
        <w:tc>
          <w:tcPr>
            <w:tcW w:w="717" w:type="dxa"/>
            <w:noWrap w:val="0"/>
            <w:vAlign w:val="center"/>
          </w:tcPr>
          <w:p w14:paraId="49618227">
            <w:pPr>
              <w:pStyle w:val="33"/>
              <w:keepNext w:val="0"/>
              <w:keepLines w:val="0"/>
              <w:pageBreakBefore w:val="0"/>
              <w:kinsoku/>
              <w:wordWrap w:val="0"/>
              <w:overflowPunct/>
              <w:topLinePunct w:val="0"/>
              <w:bidi w:val="0"/>
              <w:spacing w:line="360" w:lineRule="exact"/>
              <w:jc w:val="center"/>
              <w:rPr>
                <w:rFonts w:hint="default" w:ascii="仿宋" w:hAnsi="仿宋" w:eastAsia="仿宋" w:cs="仿宋"/>
                <w:b/>
                <w:bCs/>
                <w:sz w:val="22"/>
                <w:szCs w:val="22"/>
                <w:lang w:val="en-US" w:eastAsia="zh-CN"/>
              </w:rPr>
            </w:pPr>
            <w:r>
              <w:rPr>
                <w:rFonts w:hint="eastAsia" w:ascii="仿宋" w:hAnsi="仿宋" w:eastAsia="仿宋" w:cs="仿宋"/>
                <w:b/>
                <w:bCs/>
                <w:snapToGrid w:val="0"/>
                <w:color w:val="000000"/>
                <w:spacing w:val="-3"/>
                <w:kern w:val="0"/>
                <w:sz w:val="22"/>
                <w:szCs w:val="22"/>
                <w:highlight w:val="none"/>
                <w:lang w:val="en-US" w:eastAsia="zh-CN" w:bidi="ar-SA"/>
              </w:rPr>
              <w:t>10分</w:t>
            </w:r>
          </w:p>
        </w:tc>
        <w:tc>
          <w:tcPr>
            <w:tcW w:w="1753" w:type="dxa"/>
            <w:noWrap w:val="0"/>
            <w:vAlign w:val="center"/>
          </w:tcPr>
          <w:p w14:paraId="73E53C58">
            <w:pPr>
              <w:keepNext w:val="0"/>
              <w:keepLines w:val="0"/>
              <w:pageBreakBefore w:val="0"/>
              <w:kinsoku/>
              <w:wordWrap w:val="0"/>
              <w:overflowPunct/>
              <w:topLinePunct w:val="0"/>
              <w:bidi w:val="0"/>
              <w:spacing w:line="360" w:lineRule="exact"/>
              <w:ind w:left="113" w:right="103"/>
              <w:jc w:val="left"/>
              <w:rPr>
                <w:rFonts w:hint="eastAsia" w:ascii="仿宋" w:hAnsi="仿宋" w:eastAsia="仿宋" w:cs="仿宋"/>
                <w:sz w:val="22"/>
                <w:szCs w:val="22"/>
                <w:highlight w:val="none"/>
              </w:rPr>
            </w:pPr>
            <w:r>
              <w:rPr>
                <w:rFonts w:hint="eastAsia" w:ascii="仿宋" w:hAnsi="仿宋" w:eastAsia="仿宋" w:cs="仿宋"/>
                <w:spacing w:val="10"/>
                <w:sz w:val="22"/>
                <w:szCs w:val="22"/>
                <w:highlight w:val="none"/>
              </w:rPr>
              <w:t>满足招标文件要求且投标价格最低</w:t>
            </w:r>
            <w:r>
              <w:rPr>
                <w:rFonts w:hint="eastAsia" w:ascii="仿宋" w:hAnsi="仿宋" w:eastAsia="仿宋" w:cs="仿宋"/>
                <w:spacing w:val="-13"/>
                <w:sz w:val="22"/>
                <w:szCs w:val="22"/>
                <w:highlight w:val="none"/>
              </w:rPr>
              <w:t>的投标报价为评标基准价，其价格分</w:t>
            </w:r>
            <w:r>
              <w:rPr>
                <w:rFonts w:hint="eastAsia" w:ascii="仿宋" w:hAnsi="仿宋" w:eastAsia="仿宋" w:cs="仿宋"/>
                <w:spacing w:val="-6"/>
                <w:sz w:val="22"/>
                <w:szCs w:val="22"/>
                <w:highlight w:val="none"/>
              </w:rPr>
              <w:t>为满分。其他投标人的价格分统一按</w:t>
            </w:r>
            <w:r>
              <w:rPr>
                <w:rFonts w:hint="eastAsia" w:ascii="仿宋" w:hAnsi="仿宋" w:eastAsia="仿宋" w:cs="仿宋"/>
                <w:spacing w:val="-8"/>
                <w:sz w:val="22"/>
                <w:szCs w:val="22"/>
                <w:highlight w:val="none"/>
              </w:rPr>
              <w:t>照下列公式计算：</w:t>
            </w:r>
          </w:p>
          <w:p w14:paraId="28B361D1">
            <w:pPr>
              <w:pStyle w:val="33"/>
              <w:keepNext w:val="0"/>
              <w:keepLines w:val="0"/>
              <w:pageBreakBefore w:val="0"/>
              <w:kinsoku/>
              <w:wordWrap w:val="0"/>
              <w:overflowPunct/>
              <w:topLinePunct w:val="0"/>
              <w:bidi w:val="0"/>
              <w:spacing w:line="360" w:lineRule="exact"/>
              <w:ind w:left="111" w:leftChars="0" w:right="103" w:rightChars="0" w:firstLine="4" w:firstLineChars="0"/>
              <w:jc w:val="left"/>
              <w:rPr>
                <w:rFonts w:hint="eastAsia" w:ascii="仿宋" w:hAnsi="仿宋" w:eastAsia="仿宋" w:cs="仿宋"/>
                <w:sz w:val="22"/>
                <w:szCs w:val="22"/>
              </w:rPr>
            </w:pPr>
            <w:r>
              <w:rPr>
                <w:rFonts w:hint="eastAsia" w:ascii="仿宋" w:hAnsi="仿宋" w:eastAsia="仿宋" w:cs="仿宋"/>
                <w:spacing w:val="7"/>
                <w:sz w:val="22"/>
                <w:szCs w:val="22"/>
                <w:highlight w:val="none"/>
              </w:rPr>
              <w:t>投标报价得分</w:t>
            </w:r>
            <w:r>
              <w:rPr>
                <w:rFonts w:hint="eastAsia" w:ascii="仿宋" w:hAnsi="仿宋" w:eastAsia="仿宋" w:cs="仿宋"/>
                <w:spacing w:val="-8"/>
                <w:sz w:val="22"/>
                <w:szCs w:val="22"/>
                <w:highlight w:val="none"/>
              </w:rPr>
              <w:t>＝（</w:t>
            </w:r>
            <w:r>
              <w:rPr>
                <w:rFonts w:hint="eastAsia" w:ascii="仿宋" w:hAnsi="仿宋" w:eastAsia="仿宋" w:cs="仿宋"/>
                <w:spacing w:val="7"/>
                <w:sz w:val="22"/>
                <w:szCs w:val="22"/>
                <w:highlight w:val="none"/>
              </w:rPr>
              <w:t>评标基准价/投标</w:t>
            </w:r>
            <w:r>
              <w:rPr>
                <w:rFonts w:hint="eastAsia" w:ascii="仿宋" w:hAnsi="仿宋" w:eastAsia="仿宋" w:cs="仿宋"/>
                <w:spacing w:val="-12"/>
                <w:sz w:val="22"/>
                <w:szCs w:val="22"/>
                <w:highlight w:val="none"/>
              </w:rPr>
              <w:t>报价）×</w:t>
            </w:r>
            <w:r>
              <w:rPr>
                <w:rFonts w:hint="eastAsia" w:ascii="仿宋" w:hAnsi="仿宋" w:eastAsia="仿宋" w:cs="仿宋"/>
                <w:spacing w:val="-12"/>
                <w:sz w:val="22"/>
                <w:szCs w:val="22"/>
                <w:highlight w:val="none"/>
                <w:lang w:val="en-US" w:eastAsia="zh-CN"/>
              </w:rPr>
              <w:t>10</w:t>
            </w:r>
            <w:r>
              <w:rPr>
                <w:rFonts w:hint="eastAsia" w:ascii="仿宋" w:hAnsi="仿宋" w:eastAsia="仿宋" w:cs="仿宋"/>
                <w:spacing w:val="-12"/>
                <w:sz w:val="22"/>
                <w:szCs w:val="22"/>
                <w:highlight w:val="none"/>
              </w:rPr>
              <w:t>。</w:t>
            </w:r>
          </w:p>
        </w:tc>
        <w:tc>
          <w:tcPr>
            <w:tcW w:w="5015" w:type="dxa"/>
            <w:noWrap w:val="0"/>
            <w:vAlign w:val="top"/>
          </w:tcPr>
          <w:p w14:paraId="0DF463D4">
            <w:pPr>
              <w:keepNext w:val="0"/>
              <w:keepLines w:val="0"/>
              <w:pageBreakBefore w:val="0"/>
              <w:kinsoku/>
              <w:wordWrap w:val="0"/>
              <w:overflowPunct/>
              <w:topLinePunct w:val="0"/>
              <w:bidi w:val="0"/>
              <w:spacing w:line="360" w:lineRule="exact"/>
              <w:ind w:left="113" w:leftChars="0" w:right="103" w:rightChars="0"/>
              <w:jc w:val="both"/>
              <w:rPr>
                <w:rFonts w:hint="eastAsia" w:ascii="仿宋" w:hAnsi="仿宋" w:eastAsia="仿宋" w:cs="仿宋"/>
                <w:sz w:val="22"/>
                <w:szCs w:val="22"/>
              </w:rPr>
            </w:pPr>
            <w:r>
              <w:rPr>
                <w:rFonts w:hint="eastAsia" w:ascii="仿宋" w:hAnsi="仿宋" w:eastAsia="仿宋" w:cs="仿宋"/>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仿宋" w:hAnsi="仿宋" w:eastAsia="仿宋" w:cs="仿宋"/>
                <w:color w:val="auto"/>
                <w:spacing w:val="-13"/>
                <w:sz w:val="22"/>
                <w:szCs w:val="22"/>
                <w:highlight w:val="none"/>
                <w:lang w:eastAsia="zh-CN"/>
              </w:rPr>
              <w:t>扣除后参与评</w:t>
            </w:r>
            <w:r>
              <w:rPr>
                <w:rFonts w:hint="eastAsia" w:ascii="仿宋" w:hAnsi="仿宋" w:eastAsia="仿宋" w:cs="仿宋"/>
                <w:spacing w:val="-13"/>
                <w:sz w:val="22"/>
                <w:szCs w:val="22"/>
                <w:highlight w:val="none"/>
                <w:lang w:eastAsia="zh-CN"/>
              </w:rPr>
              <w:t>审。对于同时属于小微企业、监狱企业或残疾人福利性单位的，不重复进行投标报价扣除。（</w:t>
            </w:r>
            <w:r>
              <w:rPr>
                <w:rFonts w:hint="eastAsia" w:ascii="仿宋" w:hAnsi="仿宋" w:eastAsia="仿宋" w:cs="仿宋"/>
                <w:spacing w:val="-13"/>
                <w:sz w:val="22"/>
                <w:szCs w:val="22"/>
                <w:highlight w:val="none"/>
                <w:lang w:val="en-US" w:eastAsia="zh-CN"/>
              </w:rPr>
              <w:t>专门面向中小企业的项目除外</w:t>
            </w:r>
            <w:r>
              <w:rPr>
                <w:rFonts w:hint="eastAsia" w:ascii="仿宋" w:hAnsi="仿宋" w:eastAsia="仿宋" w:cs="仿宋"/>
                <w:spacing w:val="-13"/>
                <w:sz w:val="22"/>
                <w:szCs w:val="22"/>
                <w:highlight w:val="none"/>
                <w:lang w:eastAsia="zh-CN"/>
              </w:rPr>
              <w:t>）</w:t>
            </w:r>
          </w:p>
        </w:tc>
      </w:tr>
      <w:tr w14:paraId="1EDB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restart"/>
            <w:noWrap w:val="0"/>
            <w:vAlign w:val="center"/>
          </w:tcPr>
          <w:p w14:paraId="1540A232">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2</w:t>
            </w:r>
          </w:p>
        </w:tc>
        <w:tc>
          <w:tcPr>
            <w:tcW w:w="1211" w:type="dxa"/>
            <w:vMerge w:val="restart"/>
            <w:noWrap w:val="0"/>
            <w:vAlign w:val="center"/>
          </w:tcPr>
          <w:p w14:paraId="6EEC0DB6">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技术服务</w:t>
            </w:r>
          </w:p>
          <w:p w14:paraId="0D07385E">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方案</w:t>
            </w:r>
          </w:p>
          <w:p w14:paraId="2EB4E50D">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（76分）</w:t>
            </w:r>
          </w:p>
        </w:tc>
        <w:tc>
          <w:tcPr>
            <w:tcW w:w="717" w:type="dxa"/>
            <w:noWrap w:val="0"/>
            <w:vAlign w:val="center"/>
          </w:tcPr>
          <w:p w14:paraId="5173C349">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743A9E4D">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安保服务方案</w:t>
            </w:r>
          </w:p>
        </w:tc>
        <w:tc>
          <w:tcPr>
            <w:tcW w:w="5015" w:type="dxa"/>
            <w:noWrap w:val="0"/>
            <w:vAlign w:val="top"/>
          </w:tcPr>
          <w:p w14:paraId="4F1DE6B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根据投标人提供的安保服务方案进行评审：</w:t>
            </w:r>
          </w:p>
          <w:p w14:paraId="5A903A23">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661DF48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46B87C3A">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54828428">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3F1731C8">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6972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194C9C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p>
        </w:tc>
        <w:tc>
          <w:tcPr>
            <w:tcW w:w="1211" w:type="dxa"/>
            <w:vMerge w:val="continue"/>
            <w:noWrap w:val="0"/>
            <w:vAlign w:val="center"/>
          </w:tcPr>
          <w:p w14:paraId="710DEE21">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p>
        </w:tc>
        <w:tc>
          <w:tcPr>
            <w:tcW w:w="717" w:type="dxa"/>
            <w:noWrap w:val="0"/>
            <w:vAlign w:val="center"/>
          </w:tcPr>
          <w:p w14:paraId="3ACDAA39">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0809643C">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保洁服务方案</w:t>
            </w:r>
          </w:p>
        </w:tc>
        <w:tc>
          <w:tcPr>
            <w:tcW w:w="5015" w:type="dxa"/>
            <w:noWrap w:val="0"/>
            <w:vAlign w:val="top"/>
          </w:tcPr>
          <w:p w14:paraId="43BC733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根据投标人提供的保洁服务方案进行评审：</w:t>
            </w:r>
          </w:p>
          <w:p w14:paraId="792FDF9A">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4BFABB69">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11512FE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02801CB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21D8FF1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09C8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0099B83F">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1123468B">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7A120E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1231C8BD">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水电维修方案</w:t>
            </w:r>
          </w:p>
        </w:tc>
        <w:tc>
          <w:tcPr>
            <w:tcW w:w="5015" w:type="dxa"/>
            <w:noWrap w:val="0"/>
            <w:vAlign w:val="top"/>
          </w:tcPr>
          <w:p w14:paraId="4C16F69C">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根据投标人提供的水电维修方案进行评审：</w:t>
            </w:r>
          </w:p>
          <w:p w14:paraId="4F43342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115E3C9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5BE5441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7FD131FF">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408CA01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4DAB5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2C7C2E30">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B8CB93A">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2AD64421">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1E2B27E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绿地管护方案</w:t>
            </w:r>
          </w:p>
        </w:tc>
        <w:tc>
          <w:tcPr>
            <w:tcW w:w="5015" w:type="dxa"/>
            <w:noWrap w:val="0"/>
            <w:vAlign w:val="top"/>
          </w:tcPr>
          <w:p w14:paraId="4D6D19D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根据投标人提供的绿地管护方案进行评审：</w:t>
            </w:r>
          </w:p>
          <w:p w14:paraId="55AE4BD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0E65A058">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5E3D317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23E000A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5E9CA4EF">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5524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5AEE30B4">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2F5EBF8B">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40C289C">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356A9E39">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会议及办案区住宿房间服务方案</w:t>
            </w:r>
          </w:p>
        </w:tc>
        <w:tc>
          <w:tcPr>
            <w:tcW w:w="5015" w:type="dxa"/>
            <w:noWrap w:val="0"/>
            <w:vAlign w:val="top"/>
          </w:tcPr>
          <w:p w14:paraId="36719F6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根据投标人提供的会议及办案区住宿房间服务方案进行评审：</w:t>
            </w:r>
          </w:p>
          <w:p w14:paraId="1DBD743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24734450">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06FDBB9F">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483D592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724C2FB0">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3F19D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7B3AAC9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0CD5D7F">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6C689D4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378D4A1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电梯维护方案</w:t>
            </w:r>
          </w:p>
        </w:tc>
        <w:tc>
          <w:tcPr>
            <w:tcW w:w="5015" w:type="dxa"/>
            <w:noWrap w:val="0"/>
            <w:vAlign w:val="top"/>
          </w:tcPr>
          <w:p w14:paraId="4081B23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根据投标人提供的电梯维护方案进行评审：</w:t>
            </w:r>
          </w:p>
          <w:p w14:paraId="5EFFF0E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7F13E0A9">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16E8A92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6C76E456">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0B1C8E16">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5941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1320EDF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6F3197C">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1A37CB4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3F91F14D">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人员配备</w:t>
            </w:r>
          </w:p>
        </w:tc>
        <w:tc>
          <w:tcPr>
            <w:tcW w:w="5015" w:type="dxa"/>
            <w:noWrap w:val="0"/>
            <w:vAlign w:val="top"/>
          </w:tcPr>
          <w:p w14:paraId="24B7721E">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根据</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kern w:val="2"/>
                <w:sz w:val="22"/>
                <w:szCs w:val="22"/>
                <w:highlight w:val="none"/>
                <w:lang w:val="en-US" w:eastAsia="zh-CN" w:bidi="ar-SA"/>
              </w:rPr>
              <w:t>拟投入本项目的人员安排、从业人员岗位分配、时间安排等方面进行评审：</w:t>
            </w:r>
          </w:p>
          <w:p w14:paraId="655EA9EF">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1.人员安排合理，配备专门服务团队，组织架构完整、人员分工明确、完全满足采购需求得7分；</w:t>
            </w:r>
          </w:p>
          <w:p w14:paraId="7515C81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2.人员安排较合理，分工较明确、可行，基本满足采购需求得5分；</w:t>
            </w:r>
          </w:p>
          <w:p w14:paraId="6DB7079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3.人员安排及分工缺乏针对性，不能完全满足采购需求得3分；</w:t>
            </w:r>
          </w:p>
          <w:p w14:paraId="35CD9567">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4.有人员配备方案，但方案简单，人员安排不够合理，分工不够明确得1分；</w:t>
            </w:r>
          </w:p>
          <w:p w14:paraId="257CA5F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en-US" w:bidi="ar-SA"/>
              </w:rPr>
            </w:pPr>
            <w:r>
              <w:rPr>
                <w:rFonts w:hint="eastAsia" w:ascii="仿宋" w:hAnsi="仿宋" w:eastAsia="仿宋" w:cs="仿宋"/>
                <w:snapToGrid w:val="0"/>
                <w:color w:val="000000"/>
                <w:kern w:val="2"/>
                <w:sz w:val="22"/>
                <w:szCs w:val="22"/>
                <w:highlight w:val="none"/>
                <w:lang w:val="en-US" w:eastAsia="zh-CN" w:bidi="ar-SA"/>
              </w:rPr>
              <w:t>5.缺项不得分。</w:t>
            </w:r>
          </w:p>
        </w:tc>
      </w:tr>
      <w:tr w14:paraId="6757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48D061F0">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2B51B98">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7F4165C">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42A58B7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 xml:space="preserve"> 拟投入的设备</w:t>
            </w:r>
          </w:p>
        </w:tc>
        <w:tc>
          <w:tcPr>
            <w:tcW w:w="5015" w:type="dxa"/>
            <w:noWrap w:val="0"/>
            <w:vAlign w:val="top"/>
          </w:tcPr>
          <w:p w14:paraId="7B84BD0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根据投标人拟投入本项目的设备状况、设备数量等的科学性、合理性进行评审：</w:t>
            </w:r>
          </w:p>
          <w:p w14:paraId="0CE9EF3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1.拟投入设备种类、数量齐全、配置合理，完全满足采购需求得7分；</w:t>
            </w:r>
          </w:p>
          <w:p w14:paraId="279A9E2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2.拟投入设备种类、数量较齐全、配置基本合理，能满足采购需求得5分；</w:t>
            </w:r>
          </w:p>
          <w:p w14:paraId="3842B9C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3.拟投入设备种类、数量有欠缺，</w:t>
            </w:r>
            <w:r>
              <w:rPr>
                <w:rFonts w:hint="eastAsia" w:ascii="仿宋" w:hAnsi="仿宋" w:eastAsia="仿宋" w:cs="仿宋"/>
                <w:snapToGrid w:val="0"/>
                <w:color w:val="000000"/>
                <w:kern w:val="2"/>
                <w:sz w:val="22"/>
                <w:szCs w:val="22"/>
                <w:highlight w:val="none"/>
                <w:lang w:val="en-US" w:eastAsia="zh-CN" w:bidi="ar-SA"/>
              </w:rPr>
              <w:t>基本满足采购需求得3分；</w:t>
            </w:r>
          </w:p>
          <w:p w14:paraId="5927D89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4.拟投入设备不够齐全，分配不够合理，得1分；</w:t>
            </w:r>
          </w:p>
          <w:p w14:paraId="423A49B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5.缺项不得分。</w:t>
            </w:r>
          </w:p>
          <w:p w14:paraId="1506537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注：可提供设备购买发票或租赁合同、设备清单、设备图片等相关证明文件。</w:t>
            </w:r>
          </w:p>
        </w:tc>
      </w:tr>
      <w:tr w14:paraId="2C41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F30AA3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4BB7DD6C">
            <w:pPr>
              <w:keepNext w:val="0"/>
              <w:keepLines w:val="0"/>
              <w:pageBreakBefore w:val="0"/>
              <w:kinsoku w:val="0"/>
              <w:wordWrap/>
              <w:overflowPunct/>
              <w:topLinePunct w:val="0"/>
              <w:autoSpaceDE w:val="0"/>
              <w:autoSpaceDN w:val="0"/>
              <w:bidi w:val="0"/>
              <w:adjustRightInd w:val="0"/>
              <w:snapToGrid w:val="0"/>
              <w:spacing w:before="78" w:line="400" w:lineRule="exact"/>
              <w:ind w:firstLine="194" w:firstLineChars="100"/>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278BCF2E">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7FC0006F">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管理制度</w:t>
            </w:r>
          </w:p>
        </w:tc>
        <w:tc>
          <w:tcPr>
            <w:tcW w:w="5015" w:type="dxa"/>
            <w:noWrap w:val="0"/>
            <w:vAlign w:val="top"/>
          </w:tcPr>
          <w:p w14:paraId="5F7076D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根据</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zh-CN" w:bidi="ar-SA"/>
              </w:rPr>
              <w:t>提供管理制度（包含人员的岗前培训计划、管理措施、人员日常考核等内容)进行评审：</w:t>
            </w:r>
          </w:p>
          <w:p w14:paraId="670EF02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1.制度健全可行，具有合理性，制度完善，条理清晰的，得7分；</w:t>
            </w:r>
          </w:p>
          <w:p w14:paraId="712413D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2.制度基本健全可行，基本具有合理性，制度完善，条理基本清晰的，得5分；</w:t>
            </w:r>
          </w:p>
          <w:p w14:paraId="4B28967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3.制度基本简单粗略，内容不够全面，合理性一般，得3分；</w:t>
            </w:r>
          </w:p>
          <w:p w14:paraId="4ADC1020">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4.制度不健全，内容简单，不够科学、合理，得1分；</w:t>
            </w:r>
          </w:p>
          <w:p w14:paraId="359AE75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5.缺项不得分</w:t>
            </w:r>
          </w:p>
        </w:tc>
      </w:tr>
      <w:tr w14:paraId="583F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5A3A4094">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3DF4974B">
            <w:pPr>
              <w:keepNext w:val="0"/>
              <w:keepLines w:val="0"/>
              <w:pageBreakBefore w:val="0"/>
              <w:kinsoku w:val="0"/>
              <w:wordWrap/>
              <w:overflowPunct/>
              <w:topLinePunct w:val="0"/>
              <w:autoSpaceDE w:val="0"/>
              <w:autoSpaceDN w:val="0"/>
              <w:bidi w:val="0"/>
              <w:adjustRightInd w:val="0"/>
              <w:snapToGrid w:val="0"/>
              <w:spacing w:before="78" w:line="400" w:lineRule="exact"/>
              <w:ind w:firstLine="194" w:firstLineChars="100"/>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0EB0263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249D7A6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应急预案</w:t>
            </w:r>
          </w:p>
        </w:tc>
        <w:tc>
          <w:tcPr>
            <w:tcW w:w="5015" w:type="dxa"/>
            <w:noWrap w:val="0"/>
            <w:vAlign w:val="top"/>
          </w:tcPr>
          <w:p w14:paraId="11435006">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根据供应商针对本项目提供的关于重大活动、突发事件应急预案和保障措施的科学性、合理性、可行性进行评审：</w:t>
            </w:r>
          </w:p>
          <w:p w14:paraId="12D084B8">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1.供应商提供的应急方案内容全面完整，方案合理、规范，可操作性强，完全满足采购文件的要求得7分；</w:t>
            </w:r>
          </w:p>
          <w:p w14:paraId="195E230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2.供应商提供的应急方案内容较全面，方案较为合理，有可操作性，能满足采购文件的要求得5分；</w:t>
            </w:r>
          </w:p>
          <w:p w14:paraId="0397EC5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3.供应商提供的应急方案基本全面，内容基本完整，方案基本合理、规范，可操作性一般，基本满足采购文件的要求，得3分；</w:t>
            </w:r>
          </w:p>
          <w:p w14:paraId="7777FD0D">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4.供应商提供的应急方案不够全面，内容不够完整、合理，不够可行得1分；</w:t>
            </w:r>
          </w:p>
          <w:p w14:paraId="379C398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5.缺项不得分。</w:t>
            </w:r>
          </w:p>
        </w:tc>
      </w:tr>
      <w:tr w14:paraId="1E02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restart"/>
            <w:noWrap w:val="0"/>
            <w:vAlign w:val="center"/>
          </w:tcPr>
          <w:p w14:paraId="380E5072">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z w:val="22"/>
                <w:szCs w:val="22"/>
                <w:lang w:val="en-US" w:eastAsia="zh-CN"/>
              </w:rPr>
              <w:t>3</w:t>
            </w:r>
          </w:p>
        </w:tc>
        <w:tc>
          <w:tcPr>
            <w:tcW w:w="1211" w:type="dxa"/>
            <w:vMerge w:val="restart"/>
            <w:noWrap w:val="0"/>
            <w:vAlign w:val="center"/>
          </w:tcPr>
          <w:p w14:paraId="7A45035C">
            <w:pPr>
              <w:keepNext w:val="0"/>
              <w:keepLines w:val="0"/>
              <w:pageBreakBefore w:val="0"/>
              <w:kinsoku w:val="0"/>
              <w:wordWrap/>
              <w:overflowPunct/>
              <w:topLinePunct w:val="0"/>
              <w:autoSpaceDE w:val="0"/>
              <w:autoSpaceDN w:val="0"/>
              <w:bidi w:val="0"/>
              <w:adjustRightInd w:val="0"/>
              <w:snapToGrid w:val="0"/>
              <w:spacing w:before="157" w:line="400" w:lineRule="exact"/>
              <w:jc w:val="left"/>
              <w:textAlignment w:val="baseline"/>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综合实力</w:t>
            </w:r>
          </w:p>
          <w:p w14:paraId="373CBFB6">
            <w:pPr>
              <w:keepNext w:val="0"/>
              <w:keepLines w:val="0"/>
              <w:pageBreakBefore w:val="0"/>
              <w:kinsoku w:val="0"/>
              <w:wordWrap/>
              <w:overflowPunct/>
              <w:topLinePunct w:val="0"/>
              <w:autoSpaceDE w:val="0"/>
              <w:autoSpaceDN w:val="0"/>
              <w:bidi w:val="0"/>
              <w:adjustRightInd w:val="0"/>
              <w:snapToGrid w:val="0"/>
              <w:spacing w:before="157" w:line="400" w:lineRule="exact"/>
              <w:jc w:val="left"/>
              <w:textAlignment w:val="baseline"/>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（7分）</w:t>
            </w:r>
          </w:p>
          <w:p w14:paraId="46F3F636">
            <w:pPr>
              <w:pStyle w:val="2"/>
              <w:jc w:val="left"/>
              <w:rPr>
                <w:rFonts w:hint="eastAsia"/>
                <w:lang w:val="en-US" w:eastAsia="zh-CN"/>
              </w:rPr>
            </w:pPr>
          </w:p>
        </w:tc>
        <w:tc>
          <w:tcPr>
            <w:tcW w:w="717" w:type="dxa"/>
            <w:vMerge w:val="restart"/>
            <w:noWrap w:val="0"/>
            <w:vAlign w:val="center"/>
          </w:tcPr>
          <w:p w14:paraId="513978E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12E69F66">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业绩</w:t>
            </w:r>
          </w:p>
          <w:p w14:paraId="244BC62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w:t>
            </w:r>
            <w:r>
              <w:rPr>
                <w:rFonts w:hint="eastAsia" w:ascii="仿宋" w:hAnsi="仿宋" w:eastAsia="仿宋" w:cs="仿宋"/>
                <w:snapToGrid w:val="0"/>
                <w:color w:val="000000"/>
                <w:spacing w:val="-13"/>
                <w:kern w:val="0"/>
                <w:sz w:val="22"/>
                <w:szCs w:val="22"/>
                <w:lang w:val="en-US" w:eastAsia="zh-CN" w:bidi="ar-SA"/>
              </w:rPr>
              <w:t>3</w:t>
            </w:r>
            <w:r>
              <w:rPr>
                <w:rFonts w:hint="eastAsia" w:ascii="仿宋" w:hAnsi="仿宋" w:eastAsia="仿宋" w:cs="仿宋"/>
                <w:snapToGrid w:val="0"/>
                <w:color w:val="000000"/>
                <w:spacing w:val="-13"/>
                <w:kern w:val="0"/>
                <w:sz w:val="22"/>
                <w:szCs w:val="22"/>
                <w:lang w:val="en-US" w:eastAsia="en-US" w:bidi="ar-SA"/>
              </w:rPr>
              <w:t>分）</w:t>
            </w:r>
          </w:p>
        </w:tc>
        <w:tc>
          <w:tcPr>
            <w:tcW w:w="5015" w:type="dxa"/>
            <w:noWrap w:val="0"/>
            <w:vAlign w:val="top"/>
          </w:tcPr>
          <w:p w14:paraId="537DE664">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投标人提供2022年1月1日以来类似（物业服务类）项目业绩的，每提供一份业绩合同得3分，本项最多得3分。（须提供业绩合同扫描件，时间以合同签订时间为准）</w:t>
            </w:r>
          </w:p>
        </w:tc>
      </w:tr>
      <w:tr w14:paraId="415B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4626FC2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2"/>
                <w:szCs w:val="22"/>
                <w:lang w:val="en-US" w:eastAsia="zh-CN"/>
              </w:rPr>
            </w:pPr>
          </w:p>
        </w:tc>
        <w:tc>
          <w:tcPr>
            <w:tcW w:w="1211" w:type="dxa"/>
            <w:vMerge w:val="continue"/>
            <w:noWrap w:val="0"/>
            <w:vAlign w:val="center"/>
          </w:tcPr>
          <w:p w14:paraId="63B04956">
            <w:pPr>
              <w:keepNext w:val="0"/>
              <w:keepLines w:val="0"/>
              <w:pageBreakBefore w:val="0"/>
              <w:kinsoku w:val="0"/>
              <w:wordWrap/>
              <w:overflowPunct/>
              <w:topLinePunct w:val="0"/>
              <w:autoSpaceDE w:val="0"/>
              <w:autoSpaceDN w:val="0"/>
              <w:bidi w:val="0"/>
              <w:adjustRightInd w:val="0"/>
              <w:snapToGrid w:val="0"/>
              <w:spacing w:before="157" w:line="400" w:lineRule="exact"/>
              <w:ind w:left="148" w:leftChars="0"/>
              <w:jc w:val="center"/>
              <w:textAlignment w:val="baseline"/>
              <w:rPr>
                <w:rFonts w:hint="eastAsia" w:ascii="仿宋" w:hAnsi="仿宋" w:eastAsia="仿宋" w:cs="仿宋"/>
                <w:spacing w:val="-2"/>
                <w:sz w:val="22"/>
                <w:szCs w:val="22"/>
                <w:lang w:val="en-US" w:eastAsia="zh-CN"/>
              </w:rPr>
            </w:pPr>
          </w:p>
        </w:tc>
        <w:tc>
          <w:tcPr>
            <w:tcW w:w="717" w:type="dxa"/>
            <w:vMerge w:val="continue"/>
            <w:noWrap w:val="0"/>
            <w:vAlign w:val="center"/>
          </w:tcPr>
          <w:p w14:paraId="5134707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753" w:type="dxa"/>
            <w:vMerge w:val="restart"/>
            <w:noWrap w:val="0"/>
            <w:vAlign w:val="center"/>
          </w:tcPr>
          <w:p w14:paraId="0DCB7AAA">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技术人员</w:t>
            </w:r>
          </w:p>
          <w:p w14:paraId="2F6E8B0B">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（4分）</w:t>
            </w:r>
          </w:p>
        </w:tc>
        <w:tc>
          <w:tcPr>
            <w:tcW w:w="5015" w:type="dxa"/>
            <w:noWrap w:val="0"/>
            <w:vAlign w:val="top"/>
          </w:tcPr>
          <w:p w14:paraId="22827B8D">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供应商拟派项目负责人具有物业职业资格证书的得2分，响应文件中须提供资格证书扫描件，未提供的不得分。</w:t>
            </w:r>
          </w:p>
        </w:tc>
      </w:tr>
      <w:tr w14:paraId="56F5F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BB94F5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2"/>
                <w:szCs w:val="22"/>
                <w:lang w:val="en-US" w:eastAsia="zh-CN"/>
              </w:rPr>
            </w:pPr>
          </w:p>
        </w:tc>
        <w:tc>
          <w:tcPr>
            <w:tcW w:w="1211" w:type="dxa"/>
            <w:vMerge w:val="continue"/>
            <w:noWrap w:val="0"/>
            <w:vAlign w:val="center"/>
          </w:tcPr>
          <w:p w14:paraId="4C20A8F1">
            <w:pPr>
              <w:keepNext w:val="0"/>
              <w:keepLines w:val="0"/>
              <w:pageBreakBefore w:val="0"/>
              <w:kinsoku w:val="0"/>
              <w:wordWrap/>
              <w:overflowPunct/>
              <w:topLinePunct w:val="0"/>
              <w:autoSpaceDE w:val="0"/>
              <w:autoSpaceDN w:val="0"/>
              <w:bidi w:val="0"/>
              <w:adjustRightInd w:val="0"/>
              <w:snapToGrid w:val="0"/>
              <w:spacing w:before="157" w:line="400" w:lineRule="exact"/>
              <w:ind w:left="148" w:leftChars="0"/>
              <w:jc w:val="center"/>
              <w:textAlignment w:val="baseline"/>
              <w:rPr>
                <w:rFonts w:hint="eastAsia" w:ascii="仿宋" w:hAnsi="仿宋" w:eastAsia="仿宋" w:cs="仿宋"/>
                <w:spacing w:val="-2"/>
                <w:sz w:val="22"/>
                <w:szCs w:val="22"/>
                <w:lang w:val="en-US" w:eastAsia="zh-CN"/>
              </w:rPr>
            </w:pPr>
          </w:p>
        </w:tc>
        <w:tc>
          <w:tcPr>
            <w:tcW w:w="717" w:type="dxa"/>
            <w:vMerge w:val="continue"/>
            <w:noWrap w:val="0"/>
            <w:vAlign w:val="center"/>
          </w:tcPr>
          <w:p w14:paraId="3CF8B60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753" w:type="dxa"/>
            <w:vMerge w:val="continue"/>
            <w:noWrap w:val="0"/>
            <w:vAlign w:val="center"/>
          </w:tcPr>
          <w:p w14:paraId="7AEF59F9">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p>
        </w:tc>
        <w:tc>
          <w:tcPr>
            <w:tcW w:w="5015" w:type="dxa"/>
            <w:noWrap w:val="0"/>
            <w:vAlign w:val="top"/>
          </w:tcPr>
          <w:p w14:paraId="5B7BABA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供应商拟派专职电工人员具有电工证的，每提供一个人员证书得2分，最多得2分，响应文件中须提供证书扫描件，未提供的不得分。</w:t>
            </w:r>
          </w:p>
        </w:tc>
      </w:tr>
      <w:tr w14:paraId="2279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center"/>
          </w:tcPr>
          <w:p w14:paraId="2F68697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4</w:t>
            </w:r>
          </w:p>
        </w:tc>
        <w:tc>
          <w:tcPr>
            <w:tcW w:w="1211" w:type="dxa"/>
            <w:noWrap w:val="0"/>
            <w:vAlign w:val="center"/>
          </w:tcPr>
          <w:p w14:paraId="444F106E">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服务承诺</w:t>
            </w:r>
          </w:p>
          <w:p w14:paraId="49588D81">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pacing w:val="-2"/>
                <w:sz w:val="22"/>
                <w:szCs w:val="22"/>
                <w:lang w:val="en-US" w:eastAsia="zh-CN"/>
              </w:rPr>
              <w:t>（7分）</w:t>
            </w:r>
          </w:p>
        </w:tc>
        <w:tc>
          <w:tcPr>
            <w:tcW w:w="717" w:type="dxa"/>
            <w:noWrap w:val="0"/>
            <w:vAlign w:val="center"/>
          </w:tcPr>
          <w:p w14:paraId="309B636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64845C05">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服务承诺</w:t>
            </w:r>
          </w:p>
          <w:p w14:paraId="7380E251">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（7分）</w:t>
            </w:r>
          </w:p>
        </w:tc>
        <w:tc>
          <w:tcPr>
            <w:tcW w:w="5015" w:type="dxa"/>
            <w:noWrap w:val="0"/>
            <w:vAlign w:val="top"/>
          </w:tcPr>
          <w:p w14:paraId="638BF04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评委根据投标人</w:t>
            </w:r>
            <w:r>
              <w:rPr>
                <w:rFonts w:hint="eastAsia" w:ascii="仿宋" w:hAnsi="仿宋" w:eastAsia="仿宋" w:cs="仿宋"/>
                <w:snapToGrid w:val="0"/>
                <w:color w:val="000000"/>
                <w:spacing w:val="-13"/>
                <w:kern w:val="0"/>
                <w:sz w:val="22"/>
                <w:szCs w:val="22"/>
                <w:lang w:val="en-US" w:eastAsia="en-US" w:bidi="ar-SA"/>
              </w:rPr>
              <w:t>针对项目的特点和要求，结合自身的条件，有利于提高服务质量等方面的承诺</w:t>
            </w:r>
            <w:r>
              <w:rPr>
                <w:rFonts w:hint="eastAsia" w:ascii="仿宋" w:hAnsi="仿宋" w:eastAsia="仿宋" w:cs="仿宋"/>
                <w:snapToGrid w:val="0"/>
                <w:color w:val="000000"/>
                <w:spacing w:val="-13"/>
                <w:kern w:val="0"/>
                <w:sz w:val="22"/>
                <w:szCs w:val="22"/>
                <w:lang w:val="en-US" w:eastAsia="zh-CN" w:bidi="ar-SA"/>
              </w:rPr>
              <w:t>进行评审：</w:t>
            </w:r>
          </w:p>
          <w:p w14:paraId="1DD126E6">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1.方案</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科</w:t>
            </w:r>
            <w:r>
              <w:rPr>
                <w:rFonts w:hint="eastAsia" w:ascii="仿宋" w:hAnsi="仿宋" w:eastAsia="仿宋" w:cs="仿宋"/>
                <w:snapToGrid w:val="0"/>
                <w:color w:val="000000"/>
                <w:spacing w:val="-13"/>
                <w:kern w:val="0"/>
                <w:sz w:val="22"/>
                <w:szCs w:val="22"/>
                <w:lang w:val="en-US" w:eastAsia="en-US" w:bidi="ar-SA"/>
              </w:rPr>
              <w:t>学合理、可操作性强</w:t>
            </w:r>
            <w:r>
              <w:rPr>
                <w:rFonts w:hint="eastAsia" w:ascii="仿宋" w:hAnsi="仿宋" w:eastAsia="仿宋" w:cs="仿宋"/>
                <w:snapToGrid w:val="0"/>
                <w:color w:val="000000"/>
                <w:spacing w:val="-13"/>
                <w:kern w:val="0"/>
                <w:sz w:val="22"/>
                <w:szCs w:val="22"/>
                <w:lang w:val="en-US" w:eastAsia="zh-CN" w:bidi="ar-SA"/>
              </w:rPr>
              <w:t>的得7分</w:t>
            </w:r>
            <w:r>
              <w:rPr>
                <w:rFonts w:hint="eastAsia" w:ascii="仿宋" w:hAnsi="仿宋" w:eastAsia="仿宋" w:cs="仿宋"/>
                <w:snapToGrid w:val="0"/>
                <w:color w:val="000000"/>
                <w:spacing w:val="-13"/>
                <w:kern w:val="0"/>
                <w:sz w:val="22"/>
                <w:szCs w:val="22"/>
                <w:lang w:val="en-US" w:eastAsia="en-US" w:bidi="ar-SA"/>
              </w:rPr>
              <w:t>；</w:t>
            </w:r>
          </w:p>
          <w:p w14:paraId="4915E49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2.方案较</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较科</w:t>
            </w:r>
            <w:r>
              <w:rPr>
                <w:rFonts w:hint="eastAsia" w:ascii="仿宋" w:hAnsi="仿宋" w:eastAsia="仿宋" w:cs="仿宋"/>
                <w:snapToGrid w:val="0"/>
                <w:color w:val="000000"/>
                <w:spacing w:val="-13"/>
                <w:kern w:val="0"/>
                <w:sz w:val="22"/>
                <w:szCs w:val="22"/>
                <w:lang w:val="en-US" w:eastAsia="en-US" w:bidi="ar-SA"/>
              </w:rPr>
              <w:t>学合理、</w:t>
            </w:r>
            <w:r>
              <w:rPr>
                <w:rFonts w:hint="eastAsia" w:ascii="仿宋" w:hAnsi="仿宋" w:eastAsia="仿宋" w:cs="仿宋"/>
                <w:snapToGrid w:val="0"/>
                <w:color w:val="000000"/>
                <w:spacing w:val="-13"/>
                <w:kern w:val="0"/>
                <w:sz w:val="22"/>
                <w:szCs w:val="22"/>
                <w:lang w:val="en-US" w:eastAsia="zh-CN" w:bidi="ar-SA"/>
              </w:rPr>
              <w:t>有可操作性的得5分</w:t>
            </w:r>
            <w:r>
              <w:rPr>
                <w:rFonts w:hint="eastAsia" w:ascii="仿宋" w:hAnsi="仿宋" w:eastAsia="仿宋" w:cs="仿宋"/>
                <w:snapToGrid w:val="0"/>
                <w:color w:val="000000"/>
                <w:spacing w:val="-13"/>
                <w:kern w:val="0"/>
                <w:sz w:val="22"/>
                <w:szCs w:val="22"/>
                <w:lang w:val="en-US" w:eastAsia="en-US" w:bidi="ar-SA"/>
              </w:rPr>
              <w:t>；</w:t>
            </w:r>
          </w:p>
          <w:p w14:paraId="5D61BA6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3.方案较</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科</w:t>
            </w:r>
            <w:r>
              <w:rPr>
                <w:rFonts w:hint="eastAsia" w:ascii="仿宋" w:hAnsi="仿宋" w:eastAsia="仿宋" w:cs="仿宋"/>
                <w:snapToGrid w:val="0"/>
                <w:color w:val="000000"/>
                <w:spacing w:val="-13"/>
                <w:kern w:val="0"/>
                <w:sz w:val="22"/>
                <w:szCs w:val="22"/>
                <w:lang w:val="en-US" w:eastAsia="en-US" w:bidi="ar-SA"/>
              </w:rPr>
              <w:t>学</w:t>
            </w:r>
            <w:r>
              <w:rPr>
                <w:rFonts w:hint="eastAsia" w:ascii="仿宋" w:hAnsi="仿宋" w:eastAsia="仿宋" w:cs="仿宋"/>
                <w:snapToGrid w:val="0"/>
                <w:color w:val="000000"/>
                <w:spacing w:val="-13"/>
                <w:kern w:val="0"/>
                <w:sz w:val="22"/>
                <w:szCs w:val="22"/>
                <w:lang w:val="en-US" w:eastAsia="zh-CN" w:bidi="ar-SA"/>
              </w:rPr>
              <w:t>性、</w:t>
            </w:r>
            <w:r>
              <w:rPr>
                <w:rFonts w:hint="eastAsia" w:ascii="仿宋" w:hAnsi="仿宋" w:eastAsia="仿宋" w:cs="仿宋"/>
                <w:snapToGrid w:val="0"/>
                <w:color w:val="000000"/>
                <w:spacing w:val="-13"/>
                <w:kern w:val="0"/>
                <w:sz w:val="22"/>
                <w:szCs w:val="22"/>
                <w:lang w:val="en-US" w:eastAsia="en-US" w:bidi="ar-SA"/>
              </w:rPr>
              <w:t>合理</w:t>
            </w:r>
            <w:r>
              <w:rPr>
                <w:rFonts w:hint="eastAsia" w:ascii="仿宋" w:hAnsi="仿宋" w:eastAsia="仿宋" w:cs="仿宋"/>
                <w:snapToGrid w:val="0"/>
                <w:color w:val="000000"/>
                <w:spacing w:val="-13"/>
                <w:kern w:val="0"/>
                <w:sz w:val="22"/>
                <w:szCs w:val="22"/>
                <w:lang w:val="en-US" w:eastAsia="zh-CN" w:bidi="ar-SA"/>
              </w:rPr>
              <w:t>性</w:t>
            </w:r>
            <w:r>
              <w:rPr>
                <w:rFonts w:hint="eastAsia" w:ascii="仿宋" w:hAnsi="仿宋" w:eastAsia="仿宋" w:cs="仿宋"/>
                <w:snapToGrid w:val="0"/>
                <w:color w:val="000000"/>
                <w:spacing w:val="-13"/>
                <w:kern w:val="0"/>
                <w:sz w:val="22"/>
                <w:szCs w:val="22"/>
                <w:lang w:val="en-US" w:eastAsia="en-US" w:bidi="ar-SA"/>
              </w:rPr>
              <w:t>、</w:t>
            </w:r>
            <w:r>
              <w:rPr>
                <w:rFonts w:hint="eastAsia" w:ascii="仿宋" w:hAnsi="仿宋" w:eastAsia="仿宋" w:cs="仿宋"/>
                <w:snapToGrid w:val="0"/>
                <w:color w:val="000000"/>
                <w:spacing w:val="-13"/>
                <w:kern w:val="0"/>
                <w:sz w:val="22"/>
                <w:szCs w:val="22"/>
                <w:lang w:val="en-US" w:eastAsia="zh-CN" w:bidi="ar-SA"/>
              </w:rPr>
              <w:t>可操作性一般的得3分</w:t>
            </w:r>
            <w:r>
              <w:rPr>
                <w:rFonts w:hint="eastAsia" w:ascii="仿宋" w:hAnsi="仿宋" w:eastAsia="仿宋" w:cs="仿宋"/>
                <w:snapToGrid w:val="0"/>
                <w:color w:val="000000"/>
                <w:spacing w:val="-13"/>
                <w:kern w:val="0"/>
                <w:sz w:val="22"/>
                <w:szCs w:val="22"/>
                <w:lang w:val="en-US" w:eastAsia="en-US" w:bidi="ar-SA"/>
              </w:rPr>
              <w:t>；</w:t>
            </w:r>
          </w:p>
          <w:p w14:paraId="79C1E4D3">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4.方案不够</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不够科</w:t>
            </w:r>
            <w:r>
              <w:rPr>
                <w:rFonts w:hint="eastAsia" w:ascii="仿宋" w:hAnsi="仿宋" w:eastAsia="仿宋" w:cs="仿宋"/>
                <w:snapToGrid w:val="0"/>
                <w:color w:val="000000"/>
                <w:spacing w:val="-13"/>
                <w:kern w:val="0"/>
                <w:sz w:val="22"/>
                <w:szCs w:val="22"/>
                <w:lang w:val="en-US" w:eastAsia="en-US" w:bidi="ar-SA"/>
              </w:rPr>
              <w:t>学合理、</w:t>
            </w:r>
            <w:r>
              <w:rPr>
                <w:rFonts w:hint="eastAsia" w:ascii="仿宋" w:hAnsi="仿宋" w:eastAsia="仿宋" w:cs="仿宋"/>
                <w:snapToGrid w:val="0"/>
                <w:color w:val="000000"/>
                <w:spacing w:val="-13"/>
                <w:kern w:val="0"/>
                <w:sz w:val="22"/>
                <w:szCs w:val="22"/>
                <w:lang w:val="en-US" w:eastAsia="zh-CN" w:bidi="ar-SA"/>
              </w:rPr>
              <w:t>操作性不强的得1分</w:t>
            </w:r>
            <w:r>
              <w:rPr>
                <w:rFonts w:hint="eastAsia" w:ascii="仿宋" w:hAnsi="仿宋" w:eastAsia="仿宋" w:cs="仿宋"/>
                <w:snapToGrid w:val="0"/>
                <w:color w:val="000000"/>
                <w:spacing w:val="-13"/>
                <w:kern w:val="0"/>
                <w:sz w:val="22"/>
                <w:szCs w:val="22"/>
                <w:lang w:val="en-US" w:eastAsia="en-US" w:bidi="ar-SA"/>
              </w:rPr>
              <w:t>；</w:t>
            </w:r>
          </w:p>
          <w:p w14:paraId="7E4C5B2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5.缺项不得分。</w:t>
            </w:r>
          </w:p>
        </w:tc>
      </w:tr>
    </w:tbl>
    <w:p w14:paraId="0146703F">
      <w:pPr>
        <w:numPr>
          <w:ilvl w:val="0"/>
          <w:numId w:val="0"/>
        </w:numPr>
        <w:spacing w:line="360" w:lineRule="auto"/>
        <w:rPr>
          <w:rFonts w:hint="eastAsia" w:ascii="宋体" w:hAnsi="宋体" w:eastAsia="宋体"/>
          <w:color w:val="000000"/>
          <w:sz w:val="24"/>
          <w:szCs w:val="24"/>
          <w:highlight w:val="none"/>
          <w:lang w:val="en-US" w:eastAsia="zh-CN"/>
        </w:rPr>
      </w:pPr>
    </w:p>
    <w:p w14:paraId="15390CB6">
      <w:pPr>
        <w:pStyle w:val="2"/>
        <w:rPr>
          <w:rFonts w:hint="eastAsia" w:ascii="宋体" w:hAnsi="宋体" w:eastAsia="宋体" w:cs="宋体"/>
          <w:b/>
          <w:bCs/>
          <w:snapToGrid w:val="0"/>
          <w:color w:val="000000"/>
          <w:kern w:val="2"/>
          <w:sz w:val="24"/>
          <w:szCs w:val="24"/>
          <w:lang w:val="en-US" w:eastAsia="zh-CN" w:bidi="ar-SA"/>
        </w:rPr>
      </w:pPr>
    </w:p>
    <w:p w14:paraId="5F8CF5F6">
      <w:pPr>
        <w:pStyle w:val="2"/>
        <w:rPr>
          <w:rFonts w:hint="eastAsia" w:ascii="宋体" w:hAnsi="宋体" w:eastAsia="宋体" w:cs="宋体"/>
          <w:b/>
          <w:bCs/>
          <w:snapToGrid w:val="0"/>
          <w:color w:val="000000"/>
          <w:kern w:val="2"/>
          <w:sz w:val="24"/>
          <w:szCs w:val="24"/>
          <w:lang w:val="en-US" w:eastAsia="zh-CN" w:bidi="ar-SA"/>
        </w:rPr>
      </w:pPr>
    </w:p>
    <w:p w14:paraId="43E28AF0">
      <w:pPr>
        <w:pStyle w:val="2"/>
        <w:rPr>
          <w:rFonts w:hint="eastAsia" w:ascii="宋体" w:hAnsi="宋体" w:eastAsia="宋体" w:cs="宋体"/>
          <w:b/>
          <w:bCs/>
          <w:snapToGrid w:val="0"/>
          <w:color w:val="000000"/>
          <w:kern w:val="2"/>
          <w:sz w:val="24"/>
          <w:szCs w:val="24"/>
          <w:lang w:val="en-US" w:eastAsia="zh-CN" w:bidi="ar-SA"/>
        </w:rPr>
      </w:pPr>
    </w:p>
    <w:p w14:paraId="5792007D">
      <w:pPr>
        <w:pStyle w:val="2"/>
        <w:rPr>
          <w:rFonts w:hint="eastAsia" w:ascii="宋体" w:hAnsi="宋体" w:eastAsia="宋体" w:cs="宋体"/>
          <w:b/>
          <w:bCs/>
          <w:snapToGrid w:val="0"/>
          <w:color w:val="000000"/>
          <w:kern w:val="2"/>
          <w:sz w:val="24"/>
          <w:szCs w:val="24"/>
          <w:lang w:val="en-US" w:eastAsia="zh-CN" w:bidi="ar-SA"/>
        </w:rPr>
      </w:pPr>
    </w:p>
    <w:p w14:paraId="0315C5FB">
      <w:pPr>
        <w:pStyle w:val="2"/>
        <w:rPr>
          <w:rFonts w:hint="eastAsia" w:ascii="宋体" w:hAnsi="宋体" w:eastAsia="宋体" w:cs="宋体"/>
          <w:b/>
          <w:bCs/>
          <w:snapToGrid w:val="0"/>
          <w:color w:val="000000"/>
          <w:kern w:val="2"/>
          <w:sz w:val="24"/>
          <w:szCs w:val="24"/>
          <w:lang w:val="en-US" w:eastAsia="zh-CN" w:bidi="ar-SA"/>
        </w:rPr>
      </w:pPr>
    </w:p>
    <w:p w14:paraId="7DE5C1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159013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3EABA9D1">
      <w:pPr>
        <w:pStyle w:val="31"/>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76C2CE67">
      <w:pPr>
        <w:pStyle w:val="31"/>
        <w:jc w:val="both"/>
        <w:rPr>
          <w:rFonts w:hint="eastAsia"/>
          <w:highlight w:val="none"/>
        </w:rPr>
      </w:pPr>
    </w:p>
    <w:p w14:paraId="197CAC5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08E118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422478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2E72DA8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7BC3D1F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16F053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12D6D6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w:t>
      </w:r>
    </w:p>
    <w:p w14:paraId="4137203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心政府采购需求标准（试行）》（财库〔2023〕7号）的有关要求，并在合同中明确对相关指标的验收方式和违约责任。</w:t>
      </w:r>
    </w:p>
    <w:p w14:paraId="46489EF9">
      <w:pPr>
        <w:rPr>
          <w:rFonts w:hint="eastAsia" w:asciiTheme="minorEastAsia" w:hAnsiTheme="minorEastAsia" w:eastAsiaTheme="minorEastAsia" w:cstheme="minorEastAsia"/>
          <w:spacing w:val="-13"/>
          <w:sz w:val="24"/>
          <w:szCs w:val="24"/>
          <w:highlight w:val="yellow"/>
        </w:rPr>
      </w:pPr>
      <w:r>
        <w:rPr>
          <w:rFonts w:hint="eastAsia" w:asciiTheme="minorEastAsia" w:hAnsiTheme="minorEastAsia" w:eastAsiaTheme="minorEastAsia" w:cstheme="minorEastAsia"/>
          <w:spacing w:val="-13"/>
          <w:sz w:val="24"/>
          <w:szCs w:val="24"/>
          <w:highlight w:val="yellow"/>
        </w:rPr>
        <w:br w:type="page"/>
      </w:r>
    </w:p>
    <w:p w14:paraId="26A45E1E">
      <w:pPr>
        <w:keepNext w:val="0"/>
        <w:keepLines w:val="0"/>
        <w:pageBreakBefore w:val="0"/>
        <w:widowControl/>
        <w:kinsoku w:val="0"/>
        <w:wordWrap/>
        <w:overflowPunct/>
        <w:topLinePunct w:val="0"/>
        <w:autoSpaceDE w:val="0"/>
        <w:autoSpaceDN w:val="0"/>
        <w:bidi w:val="0"/>
        <w:adjustRightInd w:val="0"/>
        <w:snapToGrid w:val="0"/>
        <w:spacing w:before="164" w:line="262" w:lineRule="auto"/>
        <w:ind w:right="0"/>
        <w:jc w:val="center"/>
        <w:textAlignment w:val="baseline"/>
        <w:outlineLvl w:val="0"/>
        <w:rPr>
          <w:rFonts w:hint="eastAsia" w:ascii="宋体" w:hAnsi="宋体" w:eastAsia="宋体" w:cs="宋体"/>
          <w:sz w:val="43"/>
          <w:szCs w:val="43"/>
          <w:highlight w:val="none"/>
        </w:rPr>
      </w:pPr>
      <w:r>
        <w:rPr>
          <w:rFonts w:hint="eastAsia" w:ascii="宋体" w:hAnsi="宋体" w:eastAsia="宋体" w:cs="宋体"/>
          <w:b/>
          <w:bCs/>
          <w:spacing w:val="5"/>
          <w:sz w:val="43"/>
          <w:szCs w:val="43"/>
          <w:highlight w:val="none"/>
        </w:rPr>
        <w:t>物业管理服务合同</w:t>
      </w:r>
    </w:p>
    <w:p w14:paraId="4CCC3618">
      <w:pPr>
        <w:spacing w:line="298" w:lineRule="auto"/>
        <w:jc w:val="center"/>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（以实际签订合同为准）</w:t>
      </w:r>
    </w:p>
    <w:p w14:paraId="267359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pacing w:val="7"/>
          <w:sz w:val="24"/>
          <w:szCs w:val="24"/>
          <w:highlight w:val="none"/>
        </w:rPr>
      </w:pPr>
    </w:p>
    <w:p w14:paraId="0892C7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甲方：</w:t>
      </w:r>
      <w:r>
        <w:rPr>
          <w:rFonts w:hint="eastAsia" w:ascii="宋体" w:hAnsi="宋体" w:eastAsia="宋体" w:cs="宋体"/>
          <w:spacing w:val="7"/>
          <w:sz w:val="24"/>
          <w:szCs w:val="24"/>
          <w:highlight w:val="none"/>
          <w:lang w:val="en-US" w:eastAsia="zh-CN"/>
        </w:rPr>
        <w:t>河南省南阳市人民检察院</w:t>
      </w:r>
    </w:p>
    <w:p w14:paraId="5BE8CB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乙方：</w:t>
      </w:r>
    </w:p>
    <w:p w14:paraId="5FB67EF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10" w:firstLine="554"/>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本项目经</w:t>
      </w:r>
      <w:r>
        <w:rPr>
          <w:rFonts w:hint="eastAsia" w:ascii="宋体" w:hAnsi="宋体" w:eastAsia="宋体" w:cs="宋体"/>
          <w:spacing w:val="6"/>
          <w:sz w:val="24"/>
          <w:szCs w:val="24"/>
          <w:lang w:val="en-US" w:eastAsia="zh-CN"/>
        </w:rPr>
        <w:t>河南省</w:t>
      </w:r>
      <w:r>
        <w:rPr>
          <w:rFonts w:hint="eastAsia" w:ascii="宋体" w:hAnsi="宋体" w:eastAsia="宋体" w:cs="宋体"/>
          <w:spacing w:val="6"/>
          <w:sz w:val="24"/>
          <w:szCs w:val="24"/>
        </w:rPr>
        <w:t>政府采购监督管理办公室批准，采用公开招标方式由南阳市</w:t>
      </w:r>
      <w:r>
        <w:rPr>
          <w:rFonts w:hint="eastAsia" w:ascii="宋体" w:hAnsi="宋体" w:eastAsia="宋体" w:cs="宋体"/>
          <w:spacing w:val="6"/>
          <w:sz w:val="24"/>
          <w:szCs w:val="24"/>
          <w:lang w:val="en-US" w:eastAsia="zh-CN"/>
        </w:rPr>
        <w:t>公共资源交易中心</w:t>
      </w:r>
      <w:r>
        <w:rPr>
          <w:rFonts w:hint="eastAsia" w:ascii="宋体" w:hAnsi="宋体" w:eastAsia="宋体" w:cs="宋体"/>
          <w:spacing w:val="6"/>
          <w:sz w:val="24"/>
          <w:szCs w:val="24"/>
        </w:rPr>
        <w:t>依法组织采购，经评审委员会评审，决</w:t>
      </w:r>
      <w:r>
        <w:rPr>
          <w:rFonts w:hint="eastAsia" w:ascii="宋体" w:hAnsi="宋体" w:eastAsia="宋体" w:cs="宋体"/>
          <w:spacing w:val="7"/>
          <w:sz w:val="24"/>
          <w:szCs w:val="24"/>
        </w:rPr>
        <w:t>定将政府采购合同授予乙方。为进一步明确甲乙双</w:t>
      </w:r>
      <w:r>
        <w:rPr>
          <w:rFonts w:hint="eastAsia" w:ascii="宋体" w:hAnsi="宋体" w:eastAsia="宋体" w:cs="宋体"/>
          <w:spacing w:val="6"/>
          <w:sz w:val="24"/>
          <w:szCs w:val="24"/>
        </w:rPr>
        <w:t>方的责任，确保</w:t>
      </w:r>
      <w:r>
        <w:rPr>
          <w:rFonts w:hint="eastAsia" w:ascii="宋体" w:hAnsi="宋体" w:eastAsia="宋体" w:cs="宋体"/>
          <w:sz w:val="24"/>
          <w:szCs w:val="24"/>
        </w:rPr>
        <w:t>合同顺利改选，根据《中华人民共和国政府采购法》及其实施条例、</w:t>
      </w:r>
      <w:r>
        <w:rPr>
          <w:rFonts w:hint="eastAsia" w:ascii="宋体" w:hAnsi="宋体" w:eastAsia="宋体" w:cs="宋体"/>
          <w:spacing w:val="16"/>
          <w:sz w:val="24"/>
          <w:szCs w:val="24"/>
        </w:rPr>
        <w:t>《中华人民共和国</w:t>
      </w:r>
      <w:r>
        <w:rPr>
          <w:rFonts w:hint="eastAsia" w:ascii="宋体" w:hAnsi="宋体" w:eastAsia="宋体" w:cs="宋体"/>
          <w:spacing w:val="16"/>
          <w:sz w:val="24"/>
          <w:szCs w:val="24"/>
          <w:lang w:val="en-US" w:eastAsia="zh-CN"/>
        </w:rPr>
        <w:t>民法典</w:t>
      </w:r>
      <w:r>
        <w:rPr>
          <w:rFonts w:hint="eastAsia" w:ascii="宋体" w:hAnsi="宋体" w:eastAsia="宋体" w:cs="宋体"/>
          <w:spacing w:val="16"/>
          <w:sz w:val="24"/>
          <w:szCs w:val="24"/>
        </w:rPr>
        <w:t>》以及本项目中标(成交)结果，甲乙双</w:t>
      </w:r>
      <w:r>
        <w:rPr>
          <w:rFonts w:hint="eastAsia" w:ascii="宋体" w:hAnsi="宋体" w:eastAsia="宋体" w:cs="宋体"/>
          <w:spacing w:val="6"/>
          <w:sz w:val="24"/>
          <w:szCs w:val="24"/>
        </w:rPr>
        <w:t>方充分协商，订立本合，共同遵守。</w:t>
      </w:r>
    </w:p>
    <w:p w14:paraId="4CA634D1">
      <w:pPr>
        <w:keepNext w:val="0"/>
        <w:keepLines w:val="0"/>
        <w:pageBreakBefore w:val="0"/>
        <w:widowControl/>
        <w:kinsoku w:val="0"/>
        <w:wordWrap/>
        <w:overflowPunct/>
        <w:topLinePunct w:val="0"/>
        <w:autoSpaceDE w:val="0"/>
        <w:autoSpaceDN w:val="0"/>
        <w:bidi w:val="0"/>
        <w:adjustRightInd w:val="0"/>
        <w:snapToGrid w:val="0"/>
        <w:spacing w:line="420" w:lineRule="exact"/>
        <w:ind w:left="569"/>
        <w:textAlignment w:val="baseline"/>
        <w:outlineLvl w:val="2"/>
        <w:rPr>
          <w:rFonts w:hint="eastAsia" w:ascii="宋体" w:hAnsi="宋体" w:eastAsia="宋体" w:cs="宋体"/>
          <w:sz w:val="24"/>
          <w:szCs w:val="24"/>
        </w:rPr>
      </w:pPr>
      <w:r>
        <w:rPr>
          <w:rFonts w:hint="eastAsia" w:ascii="宋体" w:hAnsi="宋体" w:eastAsia="宋体" w:cs="宋体"/>
          <w:b/>
          <w:bCs/>
          <w:spacing w:val="7"/>
          <w:sz w:val="24"/>
          <w:szCs w:val="24"/>
        </w:rPr>
        <w:t>第一条</w:t>
      </w:r>
      <w:r>
        <w:rPr>
          <w:rFonts w:hint="eastAsia" w:ascii="宋体" w:hAnsi="宋体" w:eastAsia="宋体" w:cs="宋体"/>
          <w:spacing w:val="146"/>
          <w:sz w:val="24"/>
          <w:szCs w:val="24"/>
        </w:rPr>
        <w:t xml:space="preserve"> </w:t>
      </w:r>
      <w:r>
        <w:rPr>
          <w:rFonts w:hint="eastAsia" w:ascii="宋体" w:hAnsi="宋体" w:eastAsia="宋体" w:cs="宋体"/>
          <w:b/>
          <w:bCs/>
          <w:spacing w:val="7"/>
          <w:sz w:val="24"/>
          <w:szCs w:val="24"/>
        </w:rPr>
        <w:t>物业基本情况</w:t>
      </w:r>
    </w:p>
    <w:p w14:paraId="6184293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14" w:right="155" w:firstLine="550"/>
        <w:textAlignment w:val="baseline"/>
        <w:rPr>
          <w:rFonts w:hint="eastAsia" w:ascii="宋体" w:hAnsi="宋体" w:eastAsia="宋体" w:cs="宋体"/>
          <w:sz w:val="24"/>
          <w:szCs w:val="24"/>
        </w:rPr>
      </w:pPr>
      <w:r>
        <w:rPr>
          <w:rFonts w:hint="eastAsia" w:ascii="宋体" w:hAnsi="宋体" w:eastAsia="宋体" w:cs="宋体"/>
          <w:spacing w:val="14"/>
          <w:sz w:val="24"/>
          <w:szCs w:val="24"/>
          <w:lang w:val="en-US" w:eastAsia="zh-CN"/>
        </w:rPr>
        <w:t>南阳市人民检察院位于南阳市信臣路东段，物业服务范围包括检察院整个机关大院（含办案区）共约130亩地（绿化面积约2.6万平方米）区域的安保、绿地管护、楼内保洁、电梯维护及水设备清洗消毒等物业服务</w:t>
      </w:r>
      <w:r>
        <w:rPr>
          <w:rFonts w:hint="eastAsia" w:ascii="宋体" w:hAnsi="宋体" w:eastAsia="宋体" w:cs="宋体"/>
          <w:spacing w:val="14"/>
          <w:sz w:val="24"/>
          <w:szCs w:val="24"/>
        </w:rPr>
        <w:t>。</w:t>
      </w:r>
    </w:p>
    <w:p w14:paraId="243128DB">
      <w:pPr>
        <w:keepNext w:val="0"/>
        <w:keepLines w:val="0"/>
        <w:pageBreakBefore w:val="0"/>
        <w:widowControl/>
        <w:kinsoku w:val="0"/>
        <w:wordWrap/>
        <w:overflowPunct/>
        <w:topLinePunct w:val="0"/>
        <w:autoSpaceDE w:val="0"/>
        <w:autoSpaceDN w:val="0"/>
        <w:bidi w:val="0"/>
        <w:adjustRightInd w:val="0"/>
        <w:snapToGrid w:val="0"/>
        <w:spacing w:line="420" w:lineRule="exact"/>
        <w:ind w:left="569"/>
        <w:textAlignment w:val="baseline"/>
        <w:rPr>
          <w:rFonts w:hint="eastAsia" w:ascii="宋体" w:hAnsi="宋体" w:eastAsia="宋体" w:cs="宋体"/>
          <w:sz w:val="24"/>
          <w:szCs w:val="24"/>
        </w:rPr>
      </w:pPr>
      <w:r>
        <w:rPr>
          <w:rFonts w:hint="eastAsia" w:ascii="宋体" w:hAnsi="宋体" w:eastAsia="宋体" w:cs="宋体"/>
          <w:b/>
          <w:bCs/>
          <w:spacing w:val="21"/>
          <w:sz w:val="24"/>
          <w:szCs w:val="24"/>
        </w:rPr>
        <w:t>第二条服务范围、标准</w:t>
      </w:r>
    </w:p>
    <w:p w14:paraId="456F92D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一、服务范围及要求</w:t>
      </w:r>
    </w:p>
    <w:p w14:paraId="7ECC462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南阳市人民检察院位于南阳市信臣路东段，物业服务范围包括检察院整个机关大院（含办案区）共约1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0亩地（绿化面积约2.6万平方米）区域的安保、绿地管护、楼内保洁、电梯维护及水设备清洗消毒等物业服务，服务期限3年，具体范围界定和要求如下：</w:t>
      </w:r>
    </w:p>
    <w:p w14:paraId="6743BE6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二、物业服务岗位要求</w:t>
      </w:r>
    </w:p>
    <w:p w14:paraId="174788D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（一）物业人数要求</w:t>
      </w:r>
    </w:p>
    <w:p w14:paraId="06DDB2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物业服务总人员不少于</w:t>
      </w:r>
      <w:r>
        <w:rPr>
          <w:rFonts w:hint="eastAsia" w:ascii="宋体" w:hAnsi="宋体" w:eastAsia="宋体" w:cs="宋体"/>
          <w:sz w:val="24"/>
          <w:szCs w:val="24"/>
          <w:lang w:val="en-US" w:eastAsia="zh-CN"/>
        </w:rPr>
        <w:t>39</w:t>
      </w:r>
      <w:r>
        <w:rPr>
          <w:rFonts w:hint="eastAsia" w:ascii="宋体" w:hAnsi="宋体" w:eastAsia="宋体" w:cs="宋体"/>
          <w:sz w:val="24"/>
          <w:szCs w:val="24"/>
          <w:lang w:eastAsia="zh-CN"/>
        </w:rPr>
        <w:t>人（含管理人员），具体物业服务人员以满足服务要求为准。</w:t>
      </w:r>
    </w:p>
    <w:p w14:paraId="498AE25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（二）物业岗位、资质（格）及职责要求</w:t>
      </w:r>
    </w:p>
    <w:p w14:paraId="768FF7A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项目经理1人，应具有相应证书，负责本项目所有事宜。</w:t>
      </w:r>
    </w:p>
    <w:p w14:paraId="3A15C07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保安岗位不少于1</w:t>
      </w:r>
      <w:r>
        <w:rPr>
          <w:rFonts w:hint="eastAsia" w:ascii="宋体" w:hAnsi="宋体" w:eastAsia="宋体" w:cs="宋体"/>
          <w:sz w:val="24"/>
          <w:szCs w:val="24"/>
          <w:lang w:val="en" w:eastAsia="zh-CN"/>
        </w:rPr>
        <w:t>3</w:t>
      </w:r>
      <w:r>
        <w:rPr>
          <w:rFonts w:hint="eastAsia" w:ascii="宋体" w:hAnsi="宋体" w:eastAsia="宋体" w:cs="宋体"/>
          <w:sz w:val="24"/>
          <w:szCs w:val="24"/>
          <w:lang w:eastAsia="zh-CN"/>
        </w:rPr>
        <w:t>人（含保安队长）（机关大门口</w:t>
      </w:r>
      <w:r>
        <w:rPr>
          <w:rFonts w:hint="eastAsia" w:ascii="宋体" w:hAnsi="宋体" w:eastAsia="宋体" w:cs="宋体"/>
          <w:sz w:val="24"/>
          <w:szCs w:val="24"/>
          <w:lang w:val="en" w:eastAsia="zh-CN"/>
        </w:rPr>
        <w:t>4</w:t>
      </w:r>
      <w:r>
        <w:rPr>
          <w:rFonts w:hint="eastAsia" w:ascii="宋体" w:hAnsi="宋体" w:eastAsia="宋体" w:cs="宋体"/>
          <w:sz w:val="24"/>
          <w:szCs w:val="24"/>
          <w:lang w:eastAsia="zh-CN"/>
        </w:rPr>
        <w:t>人、办公楼大厅</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人、消防监控室值班</w:t>
      </w:r>
      <w:r>
        <w:rPr>
          <w:rFonts w:hint="eastAsia" w:ascii="宋体" w:hAnsi="宋体" w:eastAsia="宋体" w:cs="宋体"/>
          <w:sz w:val="24"/>
          <w:szCs w:val="24"/>
          <w:lang w:val="en" w:eastAsia="zh-CN"/>
        </w:rPr>
        <w:t>2人，办案工作区</w:t>
      </w:r>
      <w:r>
        <w:rPr>
          <w:rFonts w:hint="eastAsia" w:ascii="宋体" w:hAnsi="宋体" w:eastAsia="宋体" w:cs="宋体"/>
          <w:sz w:val="24"/>
          <w:szCs w:val="24"/>
          <w:lang w:val="en-US" w:eastAsia="zh-CN"/>
        </w:rPr>
        <w:t>2人，12309接访站1人，以上均</w:t>
      </w:r>
      <w:r>
        <w:rPr>
          <w:rFonts w:hint="eastAsia" w:ascii="宋体" w:hAnsi="宋体" w:eastAsia="宋体" w:cs="宋体"/>
          <w:sz w:val="24"/>
          <w:szCs w:val="24"/>
          <w:lang w:eastAsia="zh-CN"/>
        </w:rPr>
        <w:t>含夜间值班及巡逻）。</w:t>
      </w:r>
    </w:p>
    <w:p w14:paraId="7D652C9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）工作职责：负责门卫等机关大院（含办案工作区）的安全工作、负责进出车辆管理、负责消防监控室值班工作。</w:t>
      </w:r>
    </w:p>
    <w:p w14:paraId="24B191A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）任职人员要求：年龄18-48岁，身高1.68米以上。了解安全保障常识，服从命令听指挥，无刑事处罚、劳动教养、收容教育、强制戒毒或者被开除公职、开除军籍的记录，退伍军人优先。</w:t>
      </w:r>
    </w:p>
    <w:p w14:paraId="2B8BBAA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保洁服务岗位不少于1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人。</w:t>
      </w:r>
    </w:p>
    <w:p w14:paraId="4745CC6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岗位职责：负责机关大院（含办案区）楼内公共区域和会议室、拓展中心、接待大厅等室内及体育活动区域场地卫生清洁工作，保证按质按量的完成所分配的任务。任职人员年龄要求50岁以下。</w:t>
      </w:r>
    </w:p>
    <w:p w14:paraId="3D8665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绿地管护岗位人员不少于</w:t>
      </w:r>
      <w:r>
        <w:rPr>
          <w:rFonts w:hint="eastAsia" w:ascii="宋体" w:hAnsi="宋体" w:eastAsia="宋体" w:cs="宋体"/>
          <w:sz w:val="24"/>
          <w:szCs w:val="24"/>
          <w:lang w:val="en" w:eastAsia="zh-CN"/>
        </w:rPr>
        <w:t>7</w:t>
      </w:r>
      <w:r>
        <w:rPr>
          <w:rFonts w:hint="eastAsia" w:ascii="宋体" w:hAnsi="宋体" w:eastAsia="宋体" w:cs="宋体"/>
          <w:sz w:val="24"/>
          <w:szCs w:val="24"/>
          <w:lang w:eastAsia="zh-CN"/>
        </w:rPr>
        <w:t>人。</w:t>
      </w:r>
    </w:p>
    <w:p w14:paraId="064DADF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范围：负责机关大院（含办案区）的树木、草坪、花卉的养护工作，定期施肥、浇水、修剪、打药、防治病虫害；负责机关大院（含办案区）内、办公楼外的卫生保洁工作，两区域楼内生活垃圾集中整理后外运至门外垃圾中转站。</w:t>
      </w:r>
    </w:p>
    <w:p w14:paraId="5537293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）任职人员要求：年龄20-55岁，3年以上绿地管理工作经验、身体健康，工作责任心强，能吃苦耐劳，有良好的服务意识。</w:t>
      </w:r>
    </w:p>
    <w:p w14:paraId="1133B8D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水电岗位不少于</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人（含夜间值班人</w:t>
      </w:r>
      <w:r>
        <w:rPr>
          <w:rFonts w:hint="eastAsia" w:ascii="宋体" w:hAnsi="宋体" w:eastAsia="宋体" w:cs="宋体"/>
          <w:sz w:val="24"/>
          <w:szCs w:val="24"/>
          <w:lang w:val="en-US" w:eastAsia="zh-CN"/>
        </w:rPr>
        <w:t>1人</w:t>
      </w:r>
      <w:r>
        <w:rPr>
          <w:rFonts w:hint="eastAsia" w:ascii="宋体" w:hAnsi="宋体" w:eastAsia="宋体" w:cs="宋体"/>
          <w:sz w:val="24"/>
          <w:szCs w:val="24"/>
          <w:lang w:eastAsia="zh-CN"/>
        </w:rPr>
        <w:t>）。</w:t>
      </w:r>
    </w:p>
    <w:p w14:paraId="2A8B644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）岗位职责：负责机关大院（含办案工作区）的水、电设备的日常巡视、检查和维修工作，做好计划性保养工作；负责二次供水设备维护；配合完成各种临时性工程改造工作。</w:t>
      </w:r>
    </w:p>
    <w:p w14:paraId="17FABB4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 18—45岁；2年以上相关工作经验；工作责任心强，有良好的服务意识。</w:t>
      </w:r>
    </w:p>
    <w:p w14:paraId="1EADF7B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会议及办案区住宿房间服务岗位不少于4人。</w:t>
      </w:r>
    </w:p>
    <w:p w14:paraId="1770AE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负责会议室的保洁，负责会议时的茶水、果点、会议用品、桌椅、照明等工作；负责办案区住宿房间布草保洁等工作，办案工作区住人时，每天需对住宿房间的做好布草保洁工作，不住人时，每月需对住宿房间至少做一遍保洁工作；负责传达室报刊信件的分发工作，保证按质按量的完成所分配的任务。</w:t>
      </w:r>
    </w:p>
    <w:p w14:paraId="1339759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）任职人员要求：女，任职人员年龄要求50岁以下，其中不少于</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人员年龄在20--30岁，身高1.62米以上，相貌端庄大方，能吃苦耐劳，干活利索，有酒店服务、会议服务工作经验。</w:t>
      </w:r>
    </w:p>
    <w:p w14:paraId="2609FB9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三、物业服务管理范围</w:t>
      </w:r>
    </w:p>
    <w:p w14:paraId="1141734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机关大院（含办案工作区）安保服务；</w:t>
      </w:r>
    </w:p>
    <w:p w14:paraId="26F9831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负责机关大院（含办案工作区）楼内公共区域和会议室、拓展中心、接待大厅等室内及体育活动区域场地卫生清洁工作；</w:t>
      </w:r>
    </w:p>
    <w:p w14:paraId="29B475F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机关大院（含办案工作区）绿地管护服务及院落清扫保洁；</w:t>
      </w:r>
    </w:p>
    <w:p w14:paraId="6E9EC93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水电维护；</w:t>
      </w:r>
    </w:p>
    <w:p w14:paraId="6604CBE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电梯维护。</w:t>
      </w:r>
    </w:p>
    <w:p w14:paraId="39D7C1B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四、物业服务管理标准   </w:t>
      </w:r>
    </w:p>
    <w:p w14:paraId="65FDA02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（一）安保工作及公共秩序维护管理要求</w:t>
      </w:r>
    </w:p>
    <w:p w14:paraId="588FFD4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大门口、办公楼大厅卫及消防监控值班室实行24小时有人值守，安装值班电话，禁止脱岗。在机关上班时间对本单位人员、车辆，文明礼貌服务。</w:t>
      </w:r>
    </w:p>
    <w:p w14:paraId="7FE1120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疏导内部车辆（由甲方提供内部车辆车牌号，门卫以此区别外来车辆）停放在院内规划的车位上，不得在院内乱停乱放，劝阻外来车辆进入院内。</w:t>
      </w:r>
    </w:p>
    <w:p w14:paraId="45CE94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行政班时间对外来人员严格询问、登记、制止无关人员进入，非行政班时间原则上非本院人员免进。</w:t>
      </w:r>
    </w:p>
    <w:p w14:paraId="7FF5607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按甲方规定的时间及时地开关大门，保证门口秩序，人员及车辆出入顺利。</w:t>
      </w:r>
    </w:p>
    <w:p w14:paraId="3C8E350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严禁小商、小贩等闲杂人员进入办公区。</w:t>
      </w:r>
    </w:p>
    <w:p w14:paraId="63BFD12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凡大件物品出大门时需有后勤签字或办公人员陪同证明，且门卫作好记录放行。</w:t>
      </w:r>
    </w:p>
    <w:p w14:paraId="127F73D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如外来人员来访，必须能准确说明被访人所在处室及姓名者或经电话预约后，方可登记后入院；如来访人员要求到找单位领导，门卫应通过电话询问被访人，得到同意并进行登记后方可前往。</w:t>
      </w:r>
    </w:p>
    <w:p w14:paraId="1B34FEF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门卫人员如发现突发事件时如：火情、盗窃及其它危害人身财产安全的现象，迅速上报有关部门和双方主管领导，并采取力所能及的应急措施。</w:t>
      </w:r>
    </w:p>
    <w:p w14:paraId="1E6E144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配合甲方及辖区部门做好综合治理工作，把治安事件控制到最低。</w:t>
      </w:r>
    </w:p>
    <w:p w14:paraId="41F607E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门岗室内外保持整洁卫生，无关人员不准在门卫室长期逗留或打牌。</w:t>
      </w:r>
    </w:p>
    <w:p w14:paraId="73847D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在举行大型集体活动时，疏导外来车辆的有序停放工作。</w:t>
      </w:r>
    </w:p>
    <w:p w14:paraId="5EC948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每周三上午在机关大院进行培训或训练。</w:t>
      </w:r>
    </w:p>
    <w:p w14:paraId="1925154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13、门卫、办公楼大厅、</w:t>
      </w:r>
      <w:r>
        <w:rPr>
          <w:rFonts w:hint="eastAsia" w:ascii="宋体" w:hAnsi="宋体" w:eastAsia="宋体" w:cs="宋体"/>
          <w:sz w:val="24"/>
          <w:szCs w:val="24"/>
          <w:lang w:eastAsia="zh-CN"/>
        </w:rPr>
        <w:t>消防监控值班室、办案工作区门卫实行24小时有人值守，安装值班电话，禁止脱岗。晚间值班人员按要求和分工，2小时内对全院夜间巡逻一次，管理物业服务部门应在院内适当位置设置打卡设备，记录巡逻轨迹，并在值班室巡逻值班薄记录巡逻情况。每年进行两次消防知识培训和消防演练，使大家掌握消防基本常识，熟练运用常用的消防器材。</w:t>
      </w:r>
    </w:p>
    <w:p w14:paraId="70ACE20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（二）办公大楼及办案区公共区域、会议室、接待大厅、信访室及拓展中心室内保洁服务范围、工作流程及质量标准</w:t>
      </w:r>
    </w:p>
    <w:p w14:paraId="48E405C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大厅的保洁：</w:t>
      </w:r>
    </w:p>
    <w:p w14:paraId="24E7D80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234CC1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包括地面、宣传牌、信报箱、垃圾筒、电梯间、消防设施。</w:t>
      </w:r>
    </w:p>
    <w:p w14:paraId="2474A0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4FA359E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每天上午、下午院上班前分两次重点清理大厅、重点清理地面的垃圾杂物，院上班后，及时巡视保洁数次。</w:t>
      </w:r>
    </w:p>
    <w:p w14:paraId="59E8A61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用扫把清扫大厅地面垃圾，用长柄刷沾洗洁精清除掉污渍和香口胶。</w:t>
      </w:r>
    </w:p>
    <w:p w14:paraId="699C2A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清倒垃圾筒，洗后净后放回原处。</w:t>
      </w:r>
    </w:p>
    <w:p w14:paraId="4036274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用尘拖或拖把拖掉地面尘土和污迹。</w:t>
      </w:r>
    </w:p>
    <w:p w14:paraId="5F140E9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用干毛巾和不锈钢油轻抹大厅内各种不锈钢制品，包括门柱、镶字、宣传栏。</w:t>
      </w:r>
    </w:p>
    <w:p w14:paraId="738A61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用湿毛巾拧干后，擦抹大厅门窗框、防火门、消防栓柜、指示牌、信报箱。</w:t>
      </w:r>
    </w:p>
    <w:p w14:paraId="5AACB3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先用湿拖把拖两遍台阶，再将干净的湿拖把用力拧干后再拖一遍。</w:t>
      </w:r>
    </w:p>
    <w:p w14:paraId="4F87AD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用干净毛巾擦拭玻璃门，并每周清刮一次。</w:t>
      </w:r>
    </w:p>
    <w:p w14:paraId="29F3DB2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出入口的台阶每周用洗洁精冲刷一次。</w:t>
      </w:r>
    </w:p>
    <w:p w14:paraId="351C7C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7AD0C97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地面无烟头、纸屑、果皮等杂物，无污渍。</w:t>
      </w:r>
    </w:p>
    <w:p w14:paraId="0597609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公共设施表面无明显灰尘。</w:t>
      </w:r>
    </w:p>
    <w:p w14:paraId="6ABA94A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不锈钢表面光亮无污迹</w:t>
      </w:r>
    </w:p>
    <w:p w14:paraId="3B034DF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玻璃门无水迹、手印、污迹。</w:t>
      </w:r>
    </w:p>
    <w:p w14:paraId="6209C71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公用卫生间的保洁</w:t>
      </w:r>
    </w:p>
    <w:p w14:paraId="236D35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1918384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服务区域内所有公用卫生间。</w:t>
      </w:r>
    </w:p>
    <w:p w14:paraId="43F3F5B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5E87355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每天上午、下午院上班前分两次重点清理公用卫生间，院上班后巡视保洁。</w:t>
      </w:r>
    </w:p>
    <w:p w14:paraId="0D3F5E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打开门窗通风，用水冲洗大小便器，用夹子夹出小便器内的烟头等杂物。</w:t>
      </w:r>
    </w:p>
    <w:p w14:paraId="26961E7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从上到下屋顶、墙面清洁除尘、瓷砖面擦抹，清扫地面垃圾，清倒垃圾篓，换新垃圾袋后放回原位。</w:t>
      </w:r>
    </w:p>
    <w:p w14:paraId="2D4F571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将洁厕水倒入水勺内，用厕所刷沾洁厕水刷洗大、小便器，然后用清水冲净。</w:t>
      </w:r>
    </w:p>
    <w:p w14:paraId="37518D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用湿拖把拖干净地面，然后用干拖把拖干。</w:t>
      </w:r>
    </w:p>
    <w:p w14:paraId="7DC4379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点燃卫生香和空气清新剂，小便斗内放入卫生球（樟脑丸）。</w:t>
      </w:r>
    </w:p>
    <w:p w14:paraId="265845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及时巡视保洁数次，冲刷大小便池，清理地面垃圾、积水等。</w:t>
      </w:r>
    </w:p>
    <w:p w14:paraId="02AA7A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4583D4E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天花板、墙角、灯具目视无灰尘、蜘蛛网。</w:t>
      </w:r>
    </w:p>
    <w:p w14:paraId="0299B1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面镜、洗脸盆、台面洁净无污渍。</w:t>
      </w:r>
    </w:p>
    <w:p w14:paraId="1E29619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目视墙壁干净，便器洁净无黄渍。</w:t>
      </w:r>
    </w:p>
    <w:p w14:paraId="0A3B9F1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室内无异味、臭味。</w:t>
      </w:r>
    </w:p>
    <w:p w14:paraId="17A9D14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地面无烟头、污渍、积水、纸屑、果皮。</w:t>
      </w:r>
    </w:p>
    <w:p w14:paraId="268C71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楼道的清洁：</w:t>
      </w:r>
    </w:p>
    <w:p w14:paraId="16A4AD0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7DBC79B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楼道楼级、扶手、墙面、信报箱、消防栓、消防管道、楼道门窗、楼道灯开关及灯具的清洁。</w:t>
      </w:r>
    </w:p>
    <w:p w14:paraId="595A114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44002E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从顶层到底层自上而下清扫楼道梯级，将果皮、烟头、纸屑收集倒入垃圾箱；用胶桶装清水，洗净拖把，从顶层往下逐级拖抹梯级，拖抹时，清洗拖把数次。</w:t>
      </w:r>
    </w:p>
    <w:p w14:paraId="7D4FE36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自上而下擦抹楼梯扶手及栏杆，擦抹时，清洗抹布数次。</w:t>
      </w:r>
    </w:p>
    <w:p w14:paraId="022DF5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用于抹布擦抹配电箱、电表箱上的灰尘和污迹。</w:t>
      </w:r>
    </w:p>
    <w:p w14:paraId="32B69BE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每天上午、下午院上班前保洁完毕。</w:t>
      </w:r>
    </w:p>
    <w:p w14:paraId="11FD8D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上班后及时巡视楼道内外卫生，将广告纸、烟头、果皮、垃圾清扫干净。</w:t>
      </w:r>
    </w:p>
    <w:p w14:paraId="364D30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300CAF2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每天重点清扫、拖抹两次，并及时巡视保洁数次，保持干净。</w:t>
      </w:r>
    </w:p>
    <w:p w14:paraId="04AA4F6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目视楼道：无烟头、果皮、纸屑、广告纸、蜘蛛网、积尘、污迹等。</w:t>
      </w:r>
    </w:p>
    <w:p w14:paraId="007051E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瓷砖、喷涂和大理石墙面的保洁</w:t>
      </w:r>
    </w:p>
    <w:p w14:paraId="0672B02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42A87F4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服务区内所有贴瓷砖的内墙面、喷涂墙面和大理石墙面。</w:t>
      </w:r>
    </w:p>
    <w:p w14:paraId="302F153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6F6C6EA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用铲刀、刀片轻轻刮掉墙面的污垢、脏渍。</w:t>
      </w:r>
    </w:p>
    <w:p w14:paraId="275B817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把毛巾浸入放有洗洁精的水盆，沿着墙壁从上往下来回擦抹。</w:t>
      </w:r>
    </w:p>
    <w:p w14:paraId="343C449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有污迹的地方，再用短柄刷刷洗。</w:t>
      </w:r>
    </w:p>
    <w:p w14:paraId="40542CB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换清水后，将毛巾浸透后，用力拧干，再清找一遍。</w:t>
      </w:r>
    </w:p>
    <w:p w14:paraId="613B5E3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用干拖把拖干地面。</w:t>
      </w:r>
    </w:p>
    <w:p w14:paraId="03D089C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墙面清抹每周一次，墙面清洗每月一次，视其情况增加次数。</w:t>
      </w:r>
    </w:p>
    <w:p w14:paraId="4404595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DE1092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目视墙面干净整洁无污迹。</w:t>
      </w:r>
    </w:p>
    <w:p w14:paraId="6EF89CE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乳胶漆墙面的保洁：</w:t>
      </w:r>
    </w:p>
    <w:p w14:paraId="08D7B3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0E5EB04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服务区内楼梯、走道等处的乳胶漆墙面及天棚面。</w:t>
      </w:r>
    </w:p>
    <w:p w14:paraId="3119B36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0BC2569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关闭局部要清洁处的门窗，在地面上淋些水。</w:t>
      </w:r>
    </w:p>
    <w:p w14:paraId="7B472E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用鸡毛掸子或干净的扫把轻轻掸去墙面及天棚上灰尘。</w:t>
      </w:r>
    </w:p>
    <w:p w14:paraId="0797E3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用干毛巾清擦墙面的污迹，擦不掉的污迹用细砂纸轻轻擦掉。</w:t>
      </w:r>
    </w:p>
    <w:p w14:paraId="2CC1EDF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用铲刀铲掉墙面上粘附的泥沙、痰迹。</w:t>
      </w:r>
    </w:p>
    <w:p w14:paraId="2F2A04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扫净地面灰尘，再用拖把拖干净地面。</w:t>
      </w:r>
    </w:p>
    <w:p w14:paraId="00EB9AE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上述工作每月做一次，视其情况增加次数。</w:t>
      </w:r>
    </w:p>
    <w:p w14:paraId="6713491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06C3D8A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目视墙面洁净无污迹、无粘附物、无灰尘、无蜘蛛网等。</w:t>
      </w:r>
    </w:p>
    <w:p w14:paraId="09DEC5E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走廊的保洁：</w:t>
      </w:r>
    </w:p>
    <w:p w14:paraId="39A658D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4BCA933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服务区内所有楼层公共通道地面。</w:t>
      </w:r>
    </w:p>
    <w:p w14:paraId="0E94CB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5EFFFA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每天上午、下午院上班前分两次用扫把拖把对走道地面清扫拖抹干净；院上班后及时巡视保洁数次。</w:t>
      </w:r>
    </w:p>
    <w:p w14:paraId="22DD280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用长柄手刷沾去污粉对污迹较重的通道地面彻底清刷，再用拧干的湿毛巾，抹净墙根部分踢脚线。</w:t>
      </w:r>
    </w:p>
    <w:p w14:paraId="5AE89FA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C8CB65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地面目视干净无杂物、无污迹。</w:t>
      </w:r>
    </w:p>
    <w:p w14:paraId="00F7672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不锈钢的保洁保养：</w:t>
      </w:r>
    </w:p>
    <w:p w14:paraId="548DB75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2E4F32A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护栏、标牌、宣传栏、扶手。</w:t>
      </w:r>
    </w:p>
    <w:p w14:paraId="4EF0CCB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0293591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先用兑有中性清洁剂的溶液抹不锈钢表面。</w:t>
      </w:r>
    </w:p>
    <w:p w14:paraId="6E41B4A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然后用无绒毛巾抹净不锈钢表面上的水珠。</w:t>
      </w:r>
    </w:p>
    <w:p w14:paraId="38F360C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置少许不锈钢油于无绒毛巾上，对不锈钢表面进行拭抹。</w:t>
      </w:r>
    </w:p>
    <w:p w14:paraId="61750B7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表面面积大的可用手动喷雾枪将不锈钢油喷于不锈钢表面，然后用无绒干毛巾拭抹。</w:t>
      </w:r>
    </w:p>
    <w:p w14:paraId="14B73A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4D60A2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亚光面不锈钢表面无污迹、无灰尘。</w:t>
      </w:r>
    </w:p>
    <w:p w14:paraId="10AEDA8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镜面不锈钢表面光亮，三米内能清晰映出人物影象。</w:t>
      </w:r>
    </w:p>
    <w:p w14:paraId="18D3AAA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垃圾桶（箱）、痰盂的保洁：</w:t>
      </w:r>
    </w:p>
    <w:p w14:paraId="37B3CE8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）工作流程：</w:t>
      </w:r>
    </w:p>
    <w:p w14:paraId="1FB1B9A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清理出的垃圾按指定位置堆放。</w:t>
      </w:r>
    </w:p>
    <w:p w14:paraId="0FA7E7B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清除垃圾桶（箱）、痰盂内的垃圾后，将桶（箱）、痰盂搬到有水源的地方，先用水冲洗一遍，然后对污迹处倒少许去污粉擦洗，再用水冲洗干净，搬到原处放好。</w:t>
      </w:r>
    </w:p>
    <w:p w14:paraId="6C7EEBD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）标准</w:t>
      </w:r>
    </w:p>
    <w:p w14:paraId="6B33AF5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目视无污迹，无广告纸，每天清运、清洗一次，垃圾桶和箱每周用去污粉清洁一次。</w:t>
      </w:r>
    </w:p>
    <w:p w14:paraId="155A2C1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垃圾桶周围不积污水，位置摆放合理，桶盖闭合，外观干净清洁。</w:t>
      </w:r>
    </w:p>
    <w:p w14:paraId="08EA79B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客用电梯的保洁：</w:t>
      </w:r>
    </w:p>
    <w:p w14:paraId="41CA6B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电梯门干净、无手印、无污迹、轨道干净无杂物。</w:t>
      </w:r>
    </w:p>
    <w:p w14:paraId="5C31B8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顶面、顶灯干净无灰尘。</w:t>
      </w:r>
    </w:p>
    <w:p w14:paraId="0ADB29A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轿箱四壁干净无灰尘、无污渍。</w:t>
      </w:r>
    </w:p>
    <w:p w14:paraId="0C9EC20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地板干净无杂物、尘土、污渍。</w:t>
      </w:r>
    </w:p>
    <w:p w14:paraId="6D28E8D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内外按键、控盘干净无灰尘、无污渍。</w:t>
      </w:r>
    </w:p>
    <w:p w14:paraId="3128A8B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会议室及拓展中心室内的保洁：</w:t>
      </w:r>
    </w:p>
    <w:p w14:paraId="164A4F5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会议室门面、门把手、表面无尘土、无污渍、手印。</w:t>
      </w:r>
    </w:p>
    <w:p w14:paraId="77813C0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桌椅摆放整齐，干净无尘土、无毛发。</w:t>
      </w:r>
    </w:p>
    <w:p w14:paraId="475B1C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墙面、布面无尘土、无污渍、悬挂摆放的各种饰品干净，摆放整齐。</w:t>
      </w:r>
    </w:p>
    <w:p w14:paraId="7372228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垃圾桶及时清倒、内外干净。</w:t>
      </w:r>
    </w:p>
    <w:p w14:paraId="7DC792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地面先清扫，再用拖把清拖干净、无污渍、无杂物。</w:t>
      </w:r>
    </w:p>
    <w:p w14:paraId="040ADB9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检查照明、空调等设施，确保正常工作。</w:t>
      </w:r>
    </w:p>
    <w:p w14:paraId="1C1EA7A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做好开会时的茶水、果点供应和会议用品摆放。</w:t>
      </w:r>
    </w:p>
    <w:p w14:paraId="6563B2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尽力做好服务工作，确保开会时各项工作有序进行。</w:t>
      </w:r>
    </w:p>
    <w:p w14:paraId="45EEA2A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地下室（含车库）的保洁：</w:t>
      </w:r>
    </w:p>
    <w:p w14:paraId="4044106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每周清扫一次，地面无垃圾、水渍。</w:t>
      </w:r>
    </w:p>
    <w:p w14:paraId="6AEAD2A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墙体无蜘蛛网、无浮尘。</w:t>
      </w:r>
    </w:p>
    <w:p w14:paraId="7BB1FC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各种管道、反角镜等附属设施无锈蚀、无浮尘。</w:t>
      </w:r>
    </w:p>
    <w:p w14:paraId="676B6C6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（三）绿地管护内容要求及标准：</w:t>
      </w:r>
    </w:p>
    <w:p w14:paraId="54C9867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养护内容要求：</w:t>
      </w:r>
    </w:p>
    <w:p w14:paraId="12E941A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修剪：根据各类植物的生长特点、立地环境、景观要求，预先制订月历式修剪实施方案，方案中有详细注明修剪强度、修剪时间、修剪强度，院內紫薇、皂荚等古树名木要“一树一方案”，严格按照方案制定的操作规程适时进行，对院内乔木、大型灌木萌生的不定芽要及时清除，促使树木形态美观、营养集中。</w:t>
      </w:r>
    </w:p>
    <w:p w14:paraId="72693B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）施肥：根据各类植物的生长特点及植物对肥料的需求进行作业，每年施肥次数≥2次，新种植物视生长情况，适时适量施肥，以保障各类植物的生长旺盛达到一定的景观效果。</w:t>
      </w:r>
    </w:p>
    <w:p w14:paraId="1496A55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）除草：各类绿地、树穴、绿带要结合松土及时清理各类杂草，化学除草剂每年使用≥2次，要以人工灭草为主。</w:t>
      </w:r>
    </w:p>
    <w:p w14:paraId="331AA0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）病虫害防治：根据各类植物的寄生对象及时做好预测预报，及时采取措施防治；以灭幼脲、高氯等生物性农药为主使用，剧毒及国家明令禁止农药坚决不能使用。</w:t>
      </w:r>
    </w:p>
    <w:p w14:paraId="276A78B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）抗旱、抗涝：旱季及汛期要及时进行灌溉和排涝，不能有因干旱致植物死亡现象发生，汛期绿地低洼积水不能超过2天，长期积水区要加埋排涝管道，防止植物受损。</w:t>
      </w:r>
    </w:p>
    <w:p w14:paraId="09F443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管护期内，供应商需按照园林一级养护内容服务标准进行作业，养护工具及设备有供应商提供，确保检察院园林养护达到一级标准，具体如下：</w:t>
      </w:r>
    </w:p>
    <w:p w14:paraId="15358F5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）园林植物达到：</w:t>
      </w:r>
    </w:p>
    <w:p w14:paraId="2EDCF9C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生长势：健壮</w:t>
      </w:r>
    </w:p>
    <w:p w14:paraId="52587F4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叶子健壮：①叶色浓绿肥厚、在正常的条件下不黄叶，不焦叶、不卷叶、不落叶，叶上无虫尿、虫网灰尘；②被啃咬的叶片最严重的每株在5%以下(包括5%，以下同)。</w:t>
      </w:r>
    </w:p>
    <w:p w14:paraId="1128432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枝、干健壮：</w:t>
      </w:r>
    </w:p>
    <w:p w14:paraId="04CCFA7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无明显枯枝、死权、枝条粗壮，过冬前新梢木质化；</w:t>
      </w:r>
    </w:p>
    <w:p w14:paraId="603492E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无蛀干害虫的活卵活虫和蛀干痕迹发生</w:t>
      </w:r>
    </w:p>
    <w:p w14:paraId="1CC7E1D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介壳虫最严重处主枝干上100平方厘米1头活虫以下(包括1头，以下同)，较细的枝条每尺长的一段上在5头活虫以下(包括5头，以下同);株数都在2%以下(包括2%，以下同)。</w:t>
      </w:r>
    </w:p>
    <w:p w14:paraId="2574FB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树冠完整：分支点合适，主侧枝分布均称和数量适宜、内膛不乱、通风透光。</w:t>
      </w:r>
    </w:p>
    <w:p w14:paraId="0333A24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措施好：按一级技术措施要求认真进行养护。</w:t>
      </w:r>
    </w:p>
    <w:p w14:paraId="1961B76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草坪覆盖率应基本达到100%；草坪内杂草控制在10%以内；生长茂盛颜色正常，不枯黄；每年修剪暖地型6次以上，冷地型15次以上；草坪管理精细生长旺盛，无病虫害、无秃斑露土现象。</w:t>
      </w:r>
    </w:p>
    <w:p w14:paraId="09AAB2F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）行道树和绿地内无死树，树木修剪合理，树形美观，能及时很好地解决树木与电线、建筑物、交通等之间的矛盾。</w:t>
      </w:r>
    </w:p>
    <w:p w14:paraId="24DFC4D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）绿化生产垃圾(如：树枝、树叶、草沫等)重点地区路段能做到随产随清，其它地区和路段做到日产日清;绿地整洁，无砖石瓦块、筐和塑料袋等废弃物，并做到经常保洁。</w:t>
      </w:r>
    </w:p>
    <w:p w14:paraId="685B0A8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）木廊、亭台、栏杆、园路、井盖和牌饰等园林设施完整，做到及时维护和油饰。</w:t>
      </w:r>
    </w:p>
    <w:p w14:paraId="33D7120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无明显地人为损坏，绿地、草坪内无堆物堆料、搭棚或侵占等；行道树树干上无钉栓刻画的现象，树下距树干2米范围内无堆物堆料、搭棚设摊、圈栏等影响树木养护管理和生长的现象（2米以内如有），则应有保护措施。</w:t>
      </w:r>
    </w:p>
    <w:p w14:paraId="6C00F30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养护期内，对于办公区域内的濒死树木及病害严重的乔灌木（供应商接收前，与采购人共同协商确定），有义务对其进行救治防治（特殊防治费用另议），但不保证成活，除此类情况以外，乙方自进场后保证养护对象百分百的成活率，否则补种同规格同类树木。</w:t>
      </w:r>
    </w:p>
    <w:p w14:paraId="67A5B5C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管护中常用农药、化肥、工人护具、常用园林机械（如扫地机、修剪机、绿篱机、剪草机、药雾机）和油料及苗木移栽所用支杆、草绳等均由供应商自行提供。</w:t>
      </w:r>
    </w:p>
    <w:p w14:paraId="15C300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供应商合同签订前向采购人出具《绿化养护管理计划/实施方案》，并每月向采购人定期汇报计划落实情况及工作措施。</w:t>
      </w:r>
    </w:p>
    <w:p w14:paraId="53F2BE7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供应商必须重视安全生产，确保上岗人员均经过培训，工人护具配备齐全，养护期间不出安全责任事故。养护人员由于养护操作造成的安全责任事故，由供应商承担一切责任及损失。</w:t>
      </w:r>
    </w:p>
    <w:p w14:paraId="006293E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（四）水电维护工作</w:t>
      </w:r>
    </w:p>
    <w:p w14:paraId="5AC95A8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水电设备维护</w:t>
      </w:r>
    </w:p>
    <w:p w14:paraId="1C83326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）及时维护好电路、水路、灯具、水暖用具及日常办公桌椅。做好日常巡视、检测、保养工作，保障用电、用水和办公正常，发现故障及时上报甲方并维修，维修耗材采购方统一购买。</w:t>
      </w:r>
    </w:p>
    <w:p w14:paraId="452D3A0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）禁止违章作业，防止线路和人身安全事故的发生，及时维护好供电、供水设备保障正常供水供电。</w:t>
      </w:r>
    </w:p>
    <w:p w14:paraId="38D0DFB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）每天要检查办公楼灯具和路灯、电器设备的实际使用情况，发现问题及时解决。负责水路、电路等小设备的安装和维修工作。</w:t>
      </w:r>
    </w:p>
    <w:p w14:paraId="0258CA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二次供水设施维护</w:t>
      </w:r>
    </w:p>
    <w:p w14:paraId="0F9EE10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二次供水设施维护部门应严格按国家建设部第156号令《城市供水水质管理规定》、《河南省城市供水二次供水管理规定》和《南阳市城市饮用水二次供水管理办法》的规定，在协议期内对二次供水设施进行清洗、消毒，全年4次清洗、全年8次定期消毒、全年4次水质检测。</w:t>
      </w:r>
    </w:p>
    <w:p w14:paraId="63CBDA3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二次供水设施维护部门有义务严格按照清洗流程为用户提供服务。具体为：清理蓄水池内淤泥等杂物；用硬刷等清除池内四壁污染物；用清洗机对池内四壁进行冲刷并消毒；用清水对池内四壁进行循环冲洗，直至清水；全面消毒；在用户在场情况下，在用户监督下，采水样化验；送呈水质检测报告。</w:t>
      </w:r>
    </w:p>
    <w:p w14:paraId="621C4B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二次供水设施维护部门严格按照清洗维护标准，配合用户维护二次供水设施水质。具体为：在现场清洗消毒后一周内为用户投放缓释消毒发生器（适用于水池、水箱、水塔），并向发生器内放置消毒药片。在维护期内，每季度向缓释消毒发生器内放置消毒药片。</w:t>
      </w:r>
    </w:p>
    <w:p w14:paraId="67E1A4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完成领导交办的其他任务。</w:t>
      </w:r>
    </w:p>
    <w:p w14:paraId="256D37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（五）电梯维保服务</w:t>
      </w:r>
    </w:p>
    <w:p w14:paraId="4A54175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电梯数量：8部</w:t>
      </w:r>
    </w:p>
    <w:p w14:paraId="2C07F39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14:paraId="38D5149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根据《特种设备安全监察条例》及用户要求，提供每15天1次的例行保养，包括检查、清洁、调整及润滑设备的各类部件，按照河南省质量技术监督局颁布的《电梯保养周期表》执行。</w:t>
      </w:r>
    </w:p>
    <w:p w14:paraId="1E2C04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在规定的维保期限内因产品质量的原因，出现零部件的损坏，以书面形式通知业主及时购买或更换，如因用户使用不当造成的损坏，与用户协商解决。</w:t>
      </w:r>
    </w:p>
    <w:p w14:paraId="11F1679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自行负责保养及维修所需的材料如工具、100元以下专用材料、（不包括润滑剂、照明灯具、维修配件，由用户提供）、仪器、仪表及交通设施等等。</w:t>
      </w:r>
    </w:p>
    <w:p w14:paraId="199C186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提供咨询服务，定期向用户通报设备运行情况，并免费提供法定工作时间内的及时热线服务。</w:t>
      </w:r>
    </w:p>
    <w:p w14:paraId="71D823B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负责实施当地政府监察部门年检前后的整改工作费用由用户方承担，并达到当地政府监察部门的各项年检标准。年检所发生的部件维修的处理，按第2条规定执行。</w:t>
      </w:r>
    </w:p>
    <w:p w14:paraId="4171F8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负责24小时紧急抢修服务，接修电话后半小时内直到现场进行抢修。</w:t>
      </w:r>
    </w:p>
    <w:p w14:paraId="1E2A016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遵守用户的规章制度，服从用户的管理。如因违反用户的规章制度和服务不周所产生不良后果以及罚款，维护方自行承担。</w:t>
      </w:r>
    </w:p>
    <w:p w14:paraId="0878FB6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rPr>
      </w:pPr>
      <w:r>
        <w:rPr>
          <w:rFonts w:hint="eastAsia" w:ascii="宋体" w:hAnsi="宋体" w:eastAsia="宋体" w:cs="宋体"/>
          <w:sz w:val="24"/>
          <w:szCs w:val="24"/>
          <w:lang w:eastAsia="zh-CN"/>
        </w:rPr>
        <w:t>在受检日前一个月内按相关规定主动向政府监察部门申报电梯年检，年检费用含在维保费用中。</w:t>
      </w:r>
    </w:p>
    <w:p w14:paraId="78406F1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774"/>
        <w:textAlignment w:val="baseline"/>
        <w:outlineLvl w:val="2"/>
        <w:rPr>
          <w:rFonts w:hint="eastAsia" w:ascii="宋体" w:hAnsi="宋体" w:eastAsia="宋体" w:cs="宋体"/>
          <w:sz w:val="24"/>
          <w:szCs w:val="24"/>
        </w:rPr>
      </w:pPr>
      <w:r>
        <w:rPr>
          <w:rFonts w:hint="eastAsia" w:ascii="宋体" w:hAnsi="宋体" w:eastAsia="宋体" w:cs="宋体"/>
          <w:b/>
          <w:bCs/>
          <w:spacing w:val="16"/>
          <w:sz w:val="24"/>
          <w:szCs w:val="24"/>
        </w:rPr>
        <w:t>(六)会议及办案区住宿房间服务</w:t>
      </w:r>
    </w:p>
    <w:p w14:paraId="63C2A5A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670"/>
        <w:textAlignment w:val="baseline"/>
        <w:rPr>
          <w:rFonts w:hint="eastAsia" w:ascii="宋体" w:hAnsi="宋体" w:eastAsia="宋体" w:cs="宋体"/>
          <w:sz w:val="24"/>
          <w:szCs w:val="24"/>
        </w:rPr>
      </w:pPr>
      <w:r>
        <w:rPr>
          <w:rFonts w:hint="eastAsia" w:ascii="宋体" w:hAnsi="宋体" w:eastAsia="宋体" w:cs="宋体"/>
          <w:spacing w:val="16"/>
          <w:sz w:val="24"/>
          <w:szCs w:val="24"/>
        </w:rPr>
        <w:t>1、负责所有会议室的保洁；</w:t>
      </w:r>
    </w:p>
    <w:p w14:paraId="26906EB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6" w:firstLine="660"/>
        <w:textAlignment w:val="baseline"/>
        <w:rPr>
          <w:rFonts w:hint="eastAsia" w:ascii="宋体" w:hAnsi="宋体" w:eastAsia="宋体" w:cs="宋体"/>
          <w:sz w:val="24"/>
          <w:szCs w:val="24"/>
        </w:rPr>
      </w:pPr>
      <w:r>
        <w:rPr>
          <w:rFonts w:hint="eastAsia" w:ascii="宋体" w:hAnsi="宋体" w:eastAsia="宋体" w:cs="宋体"/>
          <w:spacing w:val="22"/>
          <w:sz w:val="24"/>
          <w:szCs w:val="24"/>
        </w:rPr>
        <w:t>2、负责会议时的茶水、果点、会议用品、桌椅摆放、照明</w:t>
      </w:r>
      <w:r>
        <w:rPr>
          <w:rFonts w:hint="eastAsia" w:ascii="宋体" w:hAnsi="宋体" w:eastAsia="宋体" w:cs="宋体"/>
          <w:spacing w:val="14"/>
          <w:sz w:val="24"/>
          <w:szCs w:val="24"/>
        </w:rPr>
        <w:t>等保障工作；</w:t>
      </w:r>
    </w:p>
    <w:p w14:paraId="1C85DF5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firstLine="599"/>
        <w:textAlignment w:val="baseline"/>
        <w:rPr>
          <w:rFonts w:hint="eastAsia" w:ascii="宋体" w:hAnsi="宋体" w:eastAsia="宋体" w:cs="宋体"/>
          <w:sz w:val="24"/>
          <w:szCs w:val="24"/>
        </w:rPr>
      </w:pPr>
      <w:r>
        <w:rPr>
          <w:rFonts w:hint="eastAsia" w:ascii="宋体" w:hAnsi="宋体" w:eastAsia="宋体" w:cs="宋体"/>
          <w:spacing w:val="23"/>
          <w:sz w:val="24"/>
          <w:szCs w:val="24"/>
        </w:rPr>
        <w:t>3、负责办案区住宿房间布草保洁工作，工作需要住人</w:t>
      </w:r>
      <w:r>
        <w:rPr>
          <w:rFonts w:hint="eastAsia" w:ascii="宋体" w:hAnsi="宋体" w:eastAsia="宋体" w:cs="宋体"/>
          <w:spacing w:val="22"/>
          <w:sz w:val="24"/>
          <w:szCs w:val="24"/>
        </w:rPr>
        <w:t>时，</w:t>
      </w:r>
      <w:r>
        <w:rPr>
          <w:rFonts w:hint="eastAsia" w:ascii="宋体" w:hAnsi="宋体" w:eastAsia="宋体" w:cs="宋体"/>
          <w:spacing w:val="28"/>
          <w:sz w:val="24"/>
          <w:szCs w:val="24"/>
        </w:rPr>
        <w:t>每天需对住宿房间的做好布草保洁工作，不住</w:t>
      </w:r>
      <w:r>
        <w:rPr>
          <w:rFonts w:hint="eastAsia" w:ascii="宋体" w:hAnsi="宋体" w:eastAsia="宋体" w:cs="宋体"/>
          <w:spacing w:val="27"/>
          <w:sz w:val="24"/>
          <w:szCs w:val="24"/>
        </w:rPr>
        <w:t>人时，每月需对</w:t>
      </w:r>
      <w:r>
        <w:rPr>
          <w:rFonts w:hint="eastAsia" w:ascii="宋体" w:hAnsi="宋体" w:eastAsia="宋体" w:cs="宋体"/>
          <w:spacing w:val="23"/>
          <w:sz w:val="24"/>
          <w:szCs w:val="24"/>
        </w:rPr>
        <w:t>住宿房间至少做一遍保洁工作；</w:t>
      </w:r>
    </w:p>
    <w:p w14:paraId="7EF0951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85" w:firstLine="599"/>
        <w:textAlignment w:val="baseline"/>
        <w:rPr>
          <w:rFonts w:hint="eastAsia" w:ascii="宋体" w:hAnsi="宋体" w:eastAsia="宋体" w:cs="宋体"/>
          <w:sz w:val="24"/>
          <w:szCs w:val="24"/>
        </w:rPr>
      </w:pPr>
      <w:r>
        <w:rPr>
          <w:rFonts w:hint="eastAsia" w:ascii="宋体" w:hAnsi="宋体" w:eastAsia="宋体" w:cs="宋体"/>
          <w:spacing w:val="22"/>
          <w:sz w:val="24"/>
          <w:szCs w:val="24"/>
        </w:rPr>
        <w:t>4、负责传达室报刊信件的分发工作，保证按质按量的完成</w:t>
      </w:r>
      <w:r>
        <w:rPr>
          <w:rFonts w:hint="eastAsia" w:ascii="宋体" w:hAnsi="宋体" w:eastAsia="宋体" w:cs="宋体"/>
          <w:spacing w:val="17"/>
          <w:sz w:val="24"/>
          <w:szCs w:val="24"/>
        </w:rPr>
        <w:t>所分配的任务；</w:t>
      </w:r>
    </w:p>
    <w:p w14:paraId="520F46B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99"/>
        <w:textAlignment w:val="baseline"/>
        <w:rPr>
          <w:rFonts w:hint="eastAsia" w:ascii="宋体" w:hAnsi="宋体" w:eastAsia="宋体" w:cs="宋体"/>
          <w:sz w:val="24"/>
          <w:szCs w:val="24"/>
        </w:rPr>
      </w:pPr>
      <w:r>
        <w:rPr>
          <w:rFonts w:hint="eastAsia" w:ascii="宋体" w:hAnsi="宋体" w:eastAsia="宋体" w:cs="宋体"/>
          <w:spacing w:val="7"/>
          <w:sz w:val="24"/>
          <w:szCs w:val="24"/>
        </w:rPr>
        <w:t>5、完成领导交办的其他工作。</w:t>
      </w:r>
    </w:p>
    <w:p w14:paraId="008D3A15">
      <w:pPr>
        <w:keepNext w:val="0"/>
        <w:keepLines w:val="0"/>
        <w:pageBreakBefore w:val="0"/>
        <w:widowControl/>
        <w:kinsoku w:val="0"/>
        <w:wordWrap/>
        <w:overflowPunct/>
        <w:topLinePunct w:val="0"/>
        <w:autoSpaceDE w:val="0"/>
        <w:autoSpaceDN w:val="0"/>
        <w:bidi w:val="0"/>
        <w:adjustRightInd w:val="0"/>
        <w:snapToGrid w:val="0"/>
        <w:spacing w:line="420" w:lineRule="exact"/>
        <w:ind w:left="604"/>
        <w:textAlignment w:val="baseline"/>
        <w:outlineLvl w:val="2"/>
        <w:rPr>
          <w:rFonts w:hint="eastAsia" w:ascii="宋体" w:hAnsi="宋体" w:eastAsia="宋体" w:cs="宋体"/>
          <w:sz w:val="24"/>
          <w:szCs w:val="24"/>
        </w:rPr>
      </w:pPr>
      <w:r>
        <w:rPr>
          <w:rFonts w:hint="eastAsia" w:ascii="宋体" w:hAnsi="宋体" w:eastAsia="宋体" w:cs="宋体"/>
          <w:b/>
          <w:bCs/>
          <w:spacing w:val="20"/>
          <w:sz w:val="24"/>
          <w:szCs w:val="24"/>
        </w:rPr>
        <w:t>第三条甲方的权利和义务</w:t>
      </w:r>
    </w:p>
    <w:p w14:paraId="2D9A381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pacing w:val="-14"/>
          <w:sz w:val="24"/>
          <w:szCs w:val="24"/>
        </w:rPr>
      </w:pPr>
      <w:r>
        <w:rPr>
          <w:rFonts w:hint="eastAsia" w:ascii="宋体" w:hAnsi="宋体" w:eastAsia="宋体" w:cs="宋体"/>
          <w:snapToGrid w:val="0"/>
          <w:color w:val="000000"/>
          <w:spacing w:val="-14"/>
          <w:kern w:val="0"/>
          <w:sz w:val="24"/>
          <w:szCs w:val="24"/>
          <w:lang w:val="en-US" w:eastAsia="en-US" w:bidi="ar-SA"/>
        </w:rPr>
        <w:t>1、</w:t>
      </w:r>
      <w:r>
        <w:rPr>
          <w:rFonts w:hint="eastAsia" w:ascii="宋体" w:hAnsi="宋体" w:eastAsia="宋体" w:cs="宋体"/>
          <w:spacing w:val="12"/>
          <w:sz w:val="24"/>
          <w:szCs w:val="24"/>
        </w:rPr>
        <w:t>甲方有对乙方的工作提出批评改进意见的权利，监督乙方</w:t>
      </w:r>
      <w:r>
        <w:rPr>
          <w:rFonts w:hint="eastAsia" w:ascii="宋体" w:hAnsi="宋体" w:eastAsia="宋体" w:cs="宋体"/>
          <w:spacing w:val="-14"/>
          <w:sz w:val="24"/>
          <w:szCs w:val="24"/>
        </w:rPr>
        <w:t>工作。</w:t>
      </w:r>
    </w:p>
    <w:p w14:paraId="596405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pacing w:val="16"/>
          <w:sz w:val="24"/>
          <w:szCs w:val="24"/>
        </w:rPr>
      </w:pPr>
      <w:r>
        <w:rPr>
          <w:rFonts w:hint="eastAsia" w:ascii="宋体" w:hAnsi="宋体" w:eastAsia="宋体" w:cs="宋体"/>
          <w:spacing w:val="16"/>
          <w:sz w:val="24"/>
          <w:szCs w:val="24"/>
        </w:rPr>
        <w:t>2、甲方在合同生效后向乙方提供3-4间物业管理服务用房。</w:t>
      </w:r>
    </w:p>
    <w:p w14:paraId="40C7E21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z w:val="24"/>
          <w:szCs w:val="24"/>
        </w:rPr>
      </w:pPr>
      <w:r>
        <w:rPr>
          <w:rFonts w:hint="eastAsia" w:ascii="宋体" w:hAnsi="宋体" w:eastAsia="宋体" w:cs="宋体"/>
          <w:spacing w:val="8"/>
          <w:sz w:val="24"/>
          <w:szCs w:val="24"/>
        </w:rPr>
        <w:t>3、乙方在工作中需要甲方工作人员协助的，甲方应</w:t>
      </w:r>
      <w:r>
        <w:rPr>
          <w:rFonts w:hint="eastAsia" w:ascii="宋体" w:hAnsi="宋体" w:eastAsia="宋体" w:cs="宋体"/>
          <w:spacing w:val="7"/>
          <w:sz w:val="24"/>
          <w:szCs w:val="24"/>
        </w:rPr>
        <w:t>积极配合。</w:t>
      </w:r>
    </w:p>
    <w:p w14:paraId="4CB60D8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4、甲方应按合同约定付清物业费用。</w:t>
      </w:r>
    </w:p>
    <w:p w14:paraId="1B5D5FC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5、负责协助乙方做好一切外部事务的处理与协调工作。</w:t>
      </w:r>
    </w:p>
    <w:p w14:paraId="26909574">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21"/>
          <w:sz w:val="24"/>
          <w:szCs w:val="24"/>
        </w:rPr>
        <w:t>第四条乙方的权利和义务</w:t>
      </w:r>
    </w:p>
    <w:p w14:paraId="1AA4DDF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39" w:firstLine="580"/>
        <w:textAlignment w:val="baseline"/>
        <w:rPr>
          <w:rFonts w:hint="eastAsia" w:ascii="宋体" w:hAnsi="宋体" w:eastAsia="宋体" w:cs="宋体"/>
          <w:sz w:val="24"/>
          <w:szCs w:val="24"/>
        </w:rPr>
      </w:pPr>
      <w:r>
        <w:rPr>
          <w:rFonts w:hint="eastAsia" w:ascii="宋体" w:hAnsi="宋体" w:eastAsia="宋体" w:cs="宋体"/>
          <w:spacing w:val="14"/>
          <w:sz w:val="24"/>
          <w:szCs w:val="24"/>
        </w:rPr>
        <w:t>1、根据有关法律法规及本合同的约定，制</w:t>
      </w:r>
      <w:r>
        <w:rPr>
          <w:rFonts w:hint="eastAsia" w:ascii="宋体" w:hAnsi="宋体" w:eastAsia="宋体" w:cs="宋体"/>
          <w:spacing w:val="13"/>
          <w:sz w:val="24"/>
          <w:szCs w:val="24"/>
        </w:rPr>
        <w:t>定物业服务管理制</w:t>
      </w:r>
      <w:r>
        <w:rPr>
          <w:rFonts w:hint="eastAsia" w:ascii="宋体" w:hAnsi="宋体" w:eastAsia="宋体" w:cs="宋体"/>
          <w:spacing w:val="12"/>
          <w:sz w:val="24"/>
          <w:szCs w:val="24"/>
        </w:rPr>
        <w:t>度。每月根据服务项目评选不低于20%的优秀员</w:t>
      </w:r>
      <w:r>
        <w:rPr>
          <w:rFonts w:hint="eastAsia" w:ascii="宋体" w:hAnsi="宋体" w:eastAsia="宋体" w:cs="宋体"/>
          <w:spacing w:val="11"/>
          <w:sz w:val="24"/>
          <w:szCs w:val="24"/>
        </w:rPr>
        <w:t>工并给予奖励，并</w:t>
      </w:r>
      <w:r>
        <w:rPr>
          <w:rFonts w:hint="eastAsia" w:ascii="宋体" w:hAnsi="宋体" w:eastAsia="宋体" w:cs="宋体"/>
          <w:spacing w:val="12"/>
          <w:sz w:val="24"/>
          <w:szCs w:val="24"/>
        </w:rPr>
        <w:t>将当月奖励情况通报甲方，如无则扣除当月物业费1000元。</w:t>
      </w:r>
    </w:p>
    <w:p w14:paraId="2D479EC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29" w:firstLine="580"/>
        <w:textAlignment w:val="baseline"/>
        <w:rPr>
          <w:rFonts w:hint="eastAsia" w:ascii="宋体" w:hAnsi="宋体" w:eastAsia="宋体" w:cs="宋体"/>
          <w:sz w:val="24"/>
          <w:szCs w:val="24"/>
        </w:rPr>
      </w:pPr>
      <w:r>
        <w:rPr>
          <w:rFonts w:hint="eastAsia" w:ascii="宋体" w:hAnsi="宋体" w:eastAsia="宋体" w:cs="宋体"/>
          <w:spacing w:val="7"/>
          <w:sz w:val="24"/>
          <w:szCs w:val="24"/>
        </w:rPr>
        <w:t>2、乙方要接受甲方的监督和考核，必须遵守甲</w:t>
      </w:r>
      <w:r>
        <w:rPr>
          <w:rFonts w:hint="eastAsia" w:ascii="宋体" w:hAnsi="宋体" w:eastAsia="宋体" w:cs="宋体"/>
          <w:spacing w:val="6"/>
          <w:sz w:val="24"/>
          <w:szCs w:val="24"/>
        </w:rPr>
        <w:t>方的规章制度，</w:t>
      </w:r>
      <w:r>
        <w:rPr>
          <w:rFonts w:hint="eastAsia" w:ascii="宋体" w:hAnsi="宋体" w:eastAsia="宋体" w:cs="宋体"/>
          <w:spacing w:val="8"/>
          <w:sz w:val="24"/>
          <w:szCs w:val="24"/>
        </w:rPr>
        <w:t>服从甲方的安排。并向甲方提供员工花名册，人员变化要及时通报</w:t>
      </w:r>
      <w:r>
        <w:rPr>
          <w:rFonts w:hint="eastAsia" w:ascii="宋体" w:hAnsi="宋体" w:eastAsia="宋体" w:cs="宋体"/>
          <w:spacing w:val="-23"/>
          <w:sz w:val="24"/>
          <w:szCs w:val="24"/>
        </w:rPr>
        <w:t>甲方。</w:t>
      </w:r>
    </w:p>
    <w:p w14:paraId="5592512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6" w:firstLine="580"/>
        <w:textAlignment w:val="baseline"/>
        <w:rPr>
          <w:rFonts w:hint="eastAsia" w:ascii="宋体" w:hAnsi="宋体" w:eastAsia="宋体" w:cs="宋体"/>
          <w:sz w:val="24"/>
          <w:szCs w:val="24"/>
        </w:rPr>
      </w:pPr>
      <w:r>
        <w:rPr>
          <w:rFonts w:hint="eastAsia" w:ascii="宋体" w:hAnsi="宋体" w:eastAsia="宋体" w:cs="宋体"/>
          <w:spacing w:val="12"/>
          <w:sz w:val="24"/>
          <w:szCs w:val="24"/>
        </w:rPr>
        <w:t>3、乙方严格按照服务范围和标准派遣服务人员，在</w:t>
      </w:r>
      <w:r>
        <w:rPr>
          <w:rFonts w:hint="eastAsia" w:ascii="宋体" w:hAnsi="宋体" w:eastAsia="宋体" w:cs="宋体"/>
          <w:spacing w:val="11"/>
          <w:sz w:val="24"/>
          <w:szCs w:val="24"/>
        </w:rPr>
        <w:t>工作区域</w:t>
      </w:r>
      <w:r>
        <w:rPr>
          <w:rFonts w:hint="eastAsia" w:ascii="宋体" w:hAnsi="宋体" w:eastAsia="宋体" w:cs="宋体"/>
          <w:spacing w:val="7"/>
          <w:sz w:val="24"/>
          <w:szCs w:val="24"/>
        </w:rPr>
        <w:t>内乙方人员提供管理服务过程中，因乙方人员的故意或</w:t>
      </w:r>
      <w:r>
        <w:rPr>
          <w:rFonts w:hint="eastAsia" w:ascii="宋体" w:hAnsi="宋体" w:eastAsia="宋体" w:cs="宋体"/>
          <w:spacing w:val="6"/>
          <w:sz w:val="24"/>
          <w:szCs w:val="24"/>
        </w:rPr>
        <w:t>过失，造成</w:t>
      </w:r>
      <w:r>
        <w:rPr>
          <w:rFonts w:hint="eastAsia" w:ascii="宋体" w:hAnsi="宋体" w:eastAsia="宋体" w:cs="宋体"/>
          <w:spacing w:val="7"/>
          <w:sz w:val="24"/>
          <w:szCs w:val="24"/>
        </w:rPr>
        <w:t>的甲、乙双方或任何第三方的人生损害或财产损失，乙方承担一切</w:t>
      </w:r>
      <w:r>
        <w:rPr>
          <w:rFonts w:hint="eastAsia" w:ascii="宋体" w:hAnsi="宋体" w:eastAsia="宋体" w:cs="宋体"/>
          <w:spacing w:val="4"/>
          <w:sz w:val="24"/>
          <w:szCs w:val="24"/>
        </w:rPr>
        <w:t>法律责任与赔偿。</w:t>
      </w:r>
    </w:p>
    <w:p w14:paraId="5E2394F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4、本合同终止时，乙方必须向甲方移交全部管理用地。</w:t>
      </w:r>
    </w:p>
    <w:p w14:paraId="10C476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9" w:firstLine="580"/>
        <w:textAlignment w:val="baseline"/>
        <w:rPr>
          <w:rFonts w:hint="eastAsia" w:ascii="宋体" w:hAnsi="宋体" w:eastAsia="宋体" w:cs="宋体"/>
          <w:sz w:val="24"/>
          <w:szCs w:val="24"/>
        </w:rPr>
      </w:pPr>
      <w:r>
        <w:rPr>
          <w:rFonts w:hint="eastAsia" w:ascii="宋体" w:hAnsi="宋体" w:eastAsia="宋体" w:cs="宋体"/>
          <w:spacing w:val="13"/>
          <w:sz w:val="24"/>
          <w:szCs w:val="24"/>
        </w:rPr>
        <w:t>5、合同期内，乙方负责本方工作人员的安全生产问题，在不</w:t>
      </w:r>
      <w:r>
        <w:rPr>
          <w:rFonts w:hint="eastAsia" w:ascii="宋体" w:hAnsi="宋体" w:eastAsia="宋体" w:cs="宋体"/>
          <w:spacing w:val="8"/>
          <w:sz w:val="24"/>
          <w:szCs w:val="24"/>
        </w:rPr>
        <w:t>可抗拒自然外力因素之外，所产生的一切安全问题由乙方负责，甲</w:t>
      </w:r>
      <w:r>
        <w:rPr>
          <w:rFonts w:hint="eastAsia" w:ascii="宋体" w:hAnsi="宋体" w:eastAsia="宋体" w:cs="宋体"/>
          <w:spacing w:val="6"/>
          <w:sz w:val="24"/>
          <w:szCs w:val="24"/>
        </w:rPr>
        <w:t>方不承担任何责任。</w:t>
      </w:r>
    </w:p>
    <w:p w14:paraId="36F0A732">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17"/>
          <w:sz w:val="24"/>
          <w:szCs w:val="24"/>
        </w:rPr>
        <w:t>第五条委托管理期限：</w:t>
      </w:r>
    </w:p>
    <w:p w14:paraId="21285B2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9" w:firstLine="580"/>
        <w:jc w:val="both"/>
        <w:textAlignment w:val="baseline"/>
        <w:rPr>
          <w:rFonts w:hint="eastAsia" w:ascii="宋体" w:hAnsi="宋体" w:eastAsia="宋体" w:cs="宋体"/>
          <w:spacing w:val="8"/>
          <w:sz w:val="24"/>
          <w:szCs w:val="24"/>
        </w:rPr>
      </w:pPr>
      <w:r>
        <w:rPr>
          <w:rFonts w:hint="eastAsia" w:ascii="宋体" w:hAnsi="宋体" w:eastAsia="宋体" w:cs="宋体"/>
          <w:spacing w:val="15"/>
          <w:sz w:val="24"/>
          <w:szCs w:val="24"/>
        </w:rPr>
        <w:t>本次招标约定双方合作期限为三年。合同有效期自</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日至</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年</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日；三年内合同期满时提前一个月由甲</w:t>
      </w:r>
      <w:r>
        <w:rPr>
          <w:rFonts w:hint="eastAsia" w:ascii="宋体" w:hAnsi="宋体" w:eastAsia="宋体" w:cs="宋体"/>
          <w:spacing w:val="8"/>
          <w:sz w:val="24"/>
          <w:szCs w:val="24"/>
        </w:rPr>
        <w:t>乙双方协商续签合同。未尽事宜，双方可协调增补条款或细则。</w:t>
      </w:r>
    </w:p>
    <w:p w14:paraId="61D53A05">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23"/>
          <w:sz w:val="24"/>
          <w:szCs w:val="24"/>
        </w:rPr>
        <w:t>第六条费用及付款方式</w:t>
      </w:r>
    </w:p>
    <w:p w14:paraId="71AE193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532" w:firstLineChars="20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根据甲乙双方协商，甲方3年支付给乙方物业服务费用</w:t>
      </w:r>
      <w:r>
        <w:rPr>
          <w:rFonts w:hint="eastAsia" w:ascii="宋体" w:hAnsi="宋体" w:eastAsia="宋体" w:cs="宋体"/>
          <w:spacing w:val="13"/>
          <w:sz w:val="24"/>
          <w:szCs w:val="24"/>
          <w:lang w:val="en-US" w:eastAsia="zh-CN"/>
        </w:rPr>
        <w:t xml:space="preserve">大写   </w:t>
      </w:r>
      <w:r>
        <w:rPr>
          <w:rFonts w:hint="eastAsia" w:ascii="宋体" w:hAnsi="宋体" w:eastAsia="宋体" w:cs="宋体"/>
          <w:spacing w:val="14"/>
          <w:sz w:val="24"/>
          <w:szCs w:val="24"/>
        </w:rPr>
        <w:t>(¥</w:t>
      </w:r>
      <w:r>
        <w:rPr>
          <w:rFonts w:hint="eastAsia" w:ascii="宋体" w:hAnsi="宋体" w:eastAsia="宋体" w:cs="宋体"/>
          <w:spacing w:val="13"/>
          <w:sz w:val="24"/>
          <w:szCs w:val="24"/>
        </w:rPr>
        <w:t>),每月由甲</w:t>
      </w:r>
      <w:r>
        <w:rPr>
          <w:rFonts w:hint="eastAsia" w:ascii="宋体" w:hAnsi="宋体" w:eastAsia="宋体" w:cs="宋体"/>
          <w:spacing w:val="14"/>
          <w:sz w:val="24"/>
          <w:szCs w:val="24"/>
        </w:rPr>
        <w:t>方支付</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)给乙</w:t>
      </w:r>
      <w:r>
        <w:rPr>
          <w:rFonts w:hint="eastAsia" w:ascii="宋体" w:hAnsi="宋体" w:eastAsia="宋体" w:cs="宋体"/>
          <w:spacing w:val="27"/>
          <w:sz w:val="24"/>
          <w:szCs w:val="24"/>
        </w:rPr>
        <w:t>方，计费时间从202</w:t>
      </w:r>
      <w:r>
        <w:rPr>
          <w:rFonts w:hint="eastAsia" w:ascii="宋体" w:hAnsi="宋体" w:eastAsia="宋体" w:cs="宋体"/>
          <w:spacing w:val="27"/>
          <w:sz w:val="24"/>
          <w:szCs w:val="24"/>
          <w:lang w:val="en-US" w:eastAsia="zh-CN"/>
        </w:rPr>
        <w:t>5</w:t>
      </w:r>
      <w:r>
        <w:rPr>
          <w:rFonts w:hint="eastAsia" w:ascii="宋体" w:hAnsi="宋体" w:eastAsia="宋体" w:cs="宋体"/>
          <w:spacing w:val="27"/>
          <w:sz w:val="24"/>
          <w:szCs w:val="24"/>
        </w:rPr>
        <w:t>年</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日开始。</w:t>
      </w:r>
    </w:p>
    <w:p w14:paraId="6D1EB660">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30"/>
          <w:sz w:val="24"/>
          <w:szCs w:val="24"/>
        </w:rPr>
        <w:t>第七条违约责任</w:t>
      </w:r>
    </w:p>
    <w:p w14:paraId="1C58264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5" w:firstLine="580"/>
        <w:textAlignment w:val="baseline"/>
        <w:rPr>
          <w:rFonts w:hint="eastAsia" w:ascii="宋体" w:hAnsi="宋体" w:eastAsia="宋体" w:cs="宋体"/>
          <w:sz w:val="24"/>
          <w:szCs w:val="24"/>
        </w:rPr>
      </w:pPr>
      <w:r>
        <w:rPr>
          <w:rFonts w:hint="eastAsia" w:ascii="宋体" w:hAnsi="宋体" w:eastAsia="宋体" w:cs="宋体"/>
          <w:spacing w:val="10"/>
          <w:sz w:val="24"/>
          <w:szCs w:val="24"/>
        </w:rPr>
        <w:t>1、甲方违反合同的约定，使乙方未完成规定管理目标，乙方</w:t>
      </w:r>
      <w:r>
        <w:rPr>
          <w:rFonts w:hint="eastAsia" w:ascii="宋体" w:hAnsi="宋体" w:eastAsia="宋体" w:cs="宋体"/>
          <w:spacing w:val="7"/>
          <w:sz w:val="24"/>
          <w:szCs w:val="24"/>
        </w:rPr>
        <w:t>有权要求甲方在一定期限内解决；逾期未解决的，乙方有权终止合同，合同中止前所产生的费用由甲方如数支付。</w:t>
      </w:r>
    </w:p>
    <w:p w14:paraId="21B2CE3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8" w:firstLine="580"/>
        <w:textAlignment w:val="baseline"/>
        <w:rPr>
          <w:rFonts w:hint="eastAsia" w:ascii="宋体" w:hAnsi="宋体" w:eastAsia="宋体" w:cs="宋体"/>
          <w:sz w:val="24"/>
          <w:szCs w:val="24"/>
        </w:rPr>
      </w:pPr>
      <w:r>
        <w:rPr>
          <w:rFonts w:hint="eastAsia" w:ascii="宋体" w:hAnsi="宋体" w:eastAsia="宋体" w:cs="宋体"/>
          <w:spacing w:val="11"/>
          <w:sz w:val="24"/>
          <w:szCs w:val="24"/>
        </w:rPr>
        <w:t>2、乙方违反本合同的约定，未能达到约定的管理目标，甲方</w:t>
      </w:r>
      <w:r>
        <w:rPr>
          <w:rFonts w:hint="eastAsia" w:ascii="宋体" w:hAnsi="宋体" w:eastAsia="宋体" w:cs="宋体"/>
          <w:spacing w:val="8"/>
          <w:sz w:val="24"/>
          <w:szCs w:val="24"/>
        </w:rPr>
        <w:t>有权要求乙方限期整改，逾期未整改的，甲方有权从支付乙方的费</w:t>
      </w:r>
      <w:r>
        <w:rPr>
          <w:rFonts w:hint="eastAsia" w:ascii="宋体" w:hAnsi="宋体" w:eastAsia="宋体" w:cs="宋体"/>
          <w:spacing w:val="19"/>
          <w:sz w:val="24"/>
          <w:szCs w:val="24"/>
        </w:rPr>
        <w:t>用中每次扣除200元，逾5次后甲方有权终止合同。</w:t>
      </w:r>
    </w:p>
    <w:p w14:paraId="0283B24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2" w:firstLine="580"/>
        <w:textAlignment w:val="baseline"/>
        <w:rPr>
          <w:rFonts w:hint="eastAsia" w:ascii="宋体" w:hAnsi="宋体" w:eastAsia="宋体" w:cs="宋体"/>
          <w:sz w:val="24"/>
          <w:szCs w:val="24"/>
        </w:rPr>
      </w:pPr>
      <w:r>
        <w:rPr>
          <w:rFonts w:hint="eastAsia" w:ascii="宋体" w:hAnsi="宋体" w:eastAsia="宋体" w:cs="宋体"/>
          <w:spacing w:val="13"/>
          <w:sz w:val="24"/>
          <w:szCs w:val="24"/>
        </w:rPr>
        <w:t>3、甲、乙任一方无正当理由提前终止合同的，另一方有权通</w:t>
      </w:r>
      <w:r>
        <w:rPr>
          <w:rFonts w:hint="eastAsia" w:ascii="宋体" w:hAnsi="宋体" w:eastAsia="宋体" w:cs="宋体"/>
          <w:spacing w:val="6"/>
          <w:sz w:val="24"/>
          <w:szCs w:val="24"/>
        </w:rPr>
        <w:t>过法律渠道解决。</w:t>
      </w:r>
    </w:p>
    <w:p w14:paraId="57EFC3D2">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31"/>
          <w:sz w:val="24"/>
          <w:szCs w:val="24"/>
        </w:rPr>
        <w:t>第八条其他事项</w:t>
      </w:r>
    </w:p>
    <w:p w14:paraId="636B300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32" w:firstLine="580"/>
        <w:textAlignment w:val="baseline"/>
        <w:rPr>
          <w:rFonts w:hint="eastAsia" w:ascii="宋体" w:hAnsi="宋体" w:eastAsia="宋体" w:cs="宋体"/>
          <w:sz w:val="24"/>
          <w:szCs w:val="24"/>
        </w:rPr>
      </w:pPr>
      <w:r>
        <w:rPr>
          <w:rFonts w:hint="eastAsia" w:ascii="宋体" w:hAnsi="宋体" w:eastAsia="宋体" w:cs="宋体"/>
          <w:spacing w:val="11"/>
          <w:sz w:val="24"/>
          <w:szCs w:val="24"/>
        </w:rPr>
        <w:t>1、本合同一式四份：甲乙双方各执一份，一份由甲方报</w:t>
      </w:r>
      <w:r>
        <w:rPr>
          <w:rFonts w:hint="eastAsia" w:ascii="宋体" w:hAnsi="宋体" w:eastAsia="宋体" w:cs="宋体"/>
          <w:spacing w:val="11"/>
          <w:sz w:val="24"/>
          <w:szCs w:val="24"/>
          <w:lang w:val="en-US" w:eastAsia="zh-CN"/>
        </w:rPr>
        <w:t>河南省</w:t>
      </w:r>
      <w:r>
        <w:rPr>
          <w:rFonts w:hint="eastAsia" w:ascii="宋体" w:hAnsi="宋体" w:eastAsia="宋体" w:cs="宋体"/>
          <w:spacing w:val="4"/>
          <w:sz w:val="24"/>
          <w:szCs w:val="24"/>
        </w:rPr>
        <w:t>政府采购监督管理办公室，一份由甲方按相关规定</w:t>
      </w:r>
      <w:r>
        <w:rPr>
          <w:rFonts w:hint="eastAsia" w:ascii="宋体" w:hAnsi="宋体" w:eastAsia="宋体" w:cs="宋体"/>
          <w:spacing w:val="3"/>
          <w:sz w:val="24"/>
          <w:szCs w:val="24"/>
        </w:rPr>
        <w:t>报</w:t>
      </w:r>
      <w:r>
        <w:rPr>
          <w:rFonts w:hint="eastAsia" w:ascii="宋体" w:hAnsi="宋体" w:eastAsia="宋体" w:cs="宋体"/>
          <w:spacing w:val="3"/>
          <w:sz w:val="24"/>
          <w:szCs w:val="24"/>
          <w:lang w:val="en-US" w:eastAsia="zh-CN"/>
        </w:rPr>
        <w:t>南阳市公共资源交易中心</w:t>
      </w:r>
      <w:r>
        <w:rPr>
          <w:rFonts w:hint="eastAsia" w:ascii="宋体" w:hAnsi="宋体" w:eastAsia="宋体" w:cs="宋体"/>
          <w:spacing w:val="2"/>
          <w:sz w:val="24"/>
          <w:szCs w:val="24"/>
        </w:rPr>
        <w:t>。</w:t>
      </w:r>
    </w:p>
    <w:p w14:paraId="6E9EA9F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firstLine="580"/>
        <w:textAlignment w:val="baseline"/>
        <w:rPr>
          <w:rFonts w:hint="eastAsia" w:ascii="宋体" w:hAnsi="宋体" w:eastAsia="宋体" w:cs="宋体"/>
          <w:sz w:val="24"/>
          <w:szCs w:val="24"/>
        </w:rPr>
      </w:pPr>
      <w:r>
        <w:rPr>
          <w:rFonts w:hint="eastAsia" w:ascii="宋体" w:hAnsi="宋体" w:eastAsia="宋体" w:cs="宋体"/>
          <w:spacing w:val="14"/>
          <w:sz w:val="24"/>
          <w:szCs w:val="24"/>
        </w:rPr>
        <w:t>2、本合同在履行中如发生争议，双方应协商解决或报请物业</w:t>
      </w:r>
      <w:r>
        <w:rPr>
          <w:rFonts w:hint="eastAsia" w:ascii="宋体" w:hAnsi="宋体" w:eastAsia="宋体" w:cs="宋体"/>
          <w:spacing w:val="2"/>
          <w:sz w:val="24"/>
          <w:szCs w:val="24"/>
        </w:rPr>
        <w:t>服务行政主管部门进行调解，协商或调解不成的，可以向法院起诉。</w:t>
      </w:r>
    </w:p>
    <w:p w14:paraId="3A3C362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1" w:firstLine="580"/>
        <w:textAlignment w:val="baseline"/>
        <w:rPr>
          <w:rFonts w:hint="eastAsia" w:ascii="宋体" w:hAnsi="宋体" w:eastAsia="宋体" w:cs="宋体"/>
          <w:spacing w:val="8"/>
          <w:sz w:val="24"/>
          <w:szCs w:val="24"/>
        </w:rPr>
      </w:pPr>
      <w:r>
        <w:rPr>
          <w:rFonts w:hint="eastAsia" w:ascii="宋体" w:hAnsi="宋体" w:eastAsia="宋体" w:cs="宋体"/>
          <w:spacing w:val="11"/>
          <w:sz w:val="24"/>
          <w:szCs w:val="24"/>
        </w:rPr>
        <w:t>3、</w:t>
      </w:r>
      <w:r>
        <w:rPr>
          <w:rFonts w:hint="eastAsia" w:ascii="宋体" w:hAnsi="宋体" w:eastAsia="宋体" w:cs="宋体"/>
          <w:spacing w:val="-75"/>
          <w:sz w:val="24"/>
          <w:szCs w:val="24"/>
        </w:rPr>
        <w:t xml:space="preserve"> </w:t>
      </w:r>
      <w:r>
        <w:rPr>
          <w:rFonts w:hint="eastAsia" w:ascii="宋体" w:hAnsi="宋体" w:eastAsia="宋体" w:cs="宋体"/>
          <w:spacing w:val="11"/>
          <w:sz w:val="24"/>
          <w:szCs w:val="24"/>
        </w:rPr>
        <w:t>经双方同意可对本合同的条款进行补充，经书面形式签订</w:t>
      </w:r>
      <w:r>
        <w:rPr>
          <w:rFonts w:hint="eastAsia" w:ascii="宋体" w:hAnsi="宋体" w:eastAsia="宋体" w:cs="宋体"/>
          <w:sz w:val="24"/>
          <w:szCs w:val="24"/>
        </w:rPr>
        <w:t xml:space="preserve"> </w:t>
      </w:r>
      <w:r>
        <w:rPr>
          <w:rFonts w:hint="eastAsia" w:ascii="宋体" w:hAnsi="宋体" w:eastAsia="宋体" w:cs="宋体"/>
          <w:spacing w:val="8"/>
          <w:sz w:val="24"/>
          <w:szCs w:val="24"/>
        </w:rPr>
        <w:t>不成协议，补充协议与本合同具有同等效力。</w:t>
      </w:r>
    </w:p>
    <w:p w14:paraId="380E45C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1" w:firstLine="58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4、本合同经甲乙双方法人代表或授权代理人签字盖章后生效。</w:t>
      </w:r>
    </w:p>
    <w:p w14:paraId="3C24736A">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7F1B4E5C">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25"/>
          <w:sz w:val="24"/>
          <w:szCs w:val="24"/>
          <w:lang w:val="en-US" w:eastAsia="zh-CN"/>
        </w:rPr>
      </w:pPr>
      <w:r>
        <w:rPr>
          <w:rFonts w:hint="eastAsia" w:ascii="宋体" w:hAnsi="宋体" w:eastAsia="宋体" w:cs="宋体"/>
          <w:spacing w:val="25"/>
          <w:sz w:val="24"/>
          <w:szCs w:val="24"/>
        </w:rPr>
        <w:t>甲方(公章)</w:t>
      </w:r>
      <w:r>
        <w:rPr>
          <w:rFonts w:hint="eastAsia" w:ascii="宋体" w:hAnsi="宋体" w:eastAsia="宋体" w:cs="宋体"/>
          <w:spacing w:val="25"/>
          <w:sz w:val="24"/>
          <w:szCs w:val="24"/>
          <w:lang w:eastAsia="zh-CN"/>
        </w:rPr>
        <w:t>：</w:t>
      </w:r>
      <w:r>
        <w:rPr>
          <w:rFonts w:hint="eastAsia" w:ascii="宋体" w:hAnsi="宋体" w:eastAsia="宋体" w:cs="宋体"/>
          <w:spacing w:val="25"/>
          <w:sz w:val="24"/>
          <w:szCs w:val="24"/>
          <w:lang w:val="en-US" w:eastAsia="zh-CN"/>
        </w:rPr>
        <w:t>河南省南阳市人民检察院</w:t>
      </w:r>
    </w:p>
    <w:p w14:paraId="0603D081">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统一社会信用代码：</w:t>
      </w:r>
    </w:p>
    <w:p w14:paraId="152CE219">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18"/>
          <w:sz w:val="24"/>
          <w:szCs w:val="24"/>
        </w:rPr>
        <w:t>地址：南阳市信臣东路1866号</w:t>
      </w:r>
    </w:p>
    <w:p w14:paraId="6CBC8028">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23"/>
          <w:sz w:val="24"/>
          <w:szCs w:val="24"/>
        </w:rPr>
      </w:pPr>
      <w:r>
        <w:rPr>
          <w:rFonts w:hint="eastAsia" w:ascii="宋体" w:hAnsi="宋体" w:eastAsia="宋体" w:cs="宋体"/>
          <w:spacing w:val="23"/>
          <w:sz w:val="24"/>
          <w:szCs w:val="24"/>
        </w:rPr>
        <w:t>法定代表人(负责人)或委托代理人：</w:t>
      </w:r>
    </w:p>
    <w:p w14:paraId="475A17C9">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8"/>
          <w:sz w:val="24"/>
          <w:szCs w:val="24"/>
        </w:rPr>
        <w:t>话</w:t>
      </w:r>
      <w:r>
        <w:rPr>
          <w:rFonts w:hint="eastAsia" w:ascii="宋体" w:hAnsi="宋体" w:eastAsia="宋体" w:cs="宋体"/>
          <w:spacing w:val="-16"/>
          <w:sz w:val="24"/>
          <w:szCs w:val="24"/>
        </w:rPr>
        <w:t xml:space="preserve"> </w:t>
      </w:r>
      <w:r>
        <w:rPr>
          <w:rFonts w:hint="eastAsia" w:ascii="宋体" w:hAnsi="宋体" w:eastAsia="宋体" w:cs="宋体"/>
          <w:spacing w:val="-18"/>
          <w:sz w:val="24"/>
          <w:szCs w:val="24"/>
        </w:rPr>
        <w:t>：</w:t>
      </w:r>
    </w:p>
    <w:p w14:paraId="0D63F047">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开户银行：</w:t>
      </w:r>
    </w:p>
    <w:p w14:paraId="47FDEAAC">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开户行账号名称：</w:t>
      </w:r>
    </w:p>
    <w:p w14:paraId="7CDAD86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3"/>
          <w:sz w:val="24"/>
          <w:szCs w:val="24"/>
        </w:rPr>
        <w:t>开户行账号：</w:t>
      </w:r>
    </w:p>
    <w:p w14:paraId="22C4E7E6">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p>
    <w:p w14:paraId="3F0381C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26"/>
          <w:sz w:val="24"/>
          <w:szCs w:val="24"/>
        </w:rPr>
        <w:t>乙方(公章):</w:t>
      </w:r>
    </w:p>
    <w:p w14:paraId="127EE83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统一社会信用代码：</w:t>
      </w:r>
    </w:p>
    <w:p w14:paraId="6D984A45">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地址：</w:t>
      </w:r>
    </w:p>
    <w:p w14:paraId="0D51887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21"/>
          <w:sz w:val="24"/>
          <w:szCs w:val="24"/>
        </w:rPr>
        <w:t>法定代表人(负责人)或委托代理人：</w:t>
      </w:r>
    </w:p>
    <w:p w14:paraId="7BFF8F9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4"/>
          <w:sz w:val="24"/>
          <w:szCs w:val="24"/>
        </w:rPr>
        <w:t>电话：</w:t>
      </w:r>
    </w:p>
    <w:p w14:paraId="2B20A3A7">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5"/>
          <w:sz w:val="24"/>
          <w:szCs w:val="24"/>
        </w:rPr>
        <w:t>开户银行：</w:t>
      </w:r>
    </w:p>
    <w:p w14:paraId="0365B1B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开户行账号名称：</w:t>
      </w:r>
    </w:p>
    <w:p w14:paraId="6EA60B14">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开户行账号：</w:t>
      </w:r>
    </w:p>
    <w:p w14:paraId="6F3FD47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6"/>
          <w:sz w:val="24"/>
          <w:szCs w:val="24"/>
        </w:rPr>
      </w:pPr>
    </w:p>
    <w:p w14:paraId="32E3E667">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合同签订日期：2025年   月    日</w:t>
      </w:r>
    </w:p>
    <w:p w14:paraId="7DD32B51"/>
    <w:p w14:paraId="71B5A02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38C01D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29C810C9">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0ABD90A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12C8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BA3C0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F23A1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3FB69A6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AF356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6E3C28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71281D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FF7A1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59BC2A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47BE4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088B57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CFFE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711F39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E9C1B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491EB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2F88A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97DA12A">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68BDF4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B69D9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B5992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20BAF8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08DCA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3F6442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35A78A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469EC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B9F44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D7AE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439A4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C89E3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E6517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C2AC27F">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6471C8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3499982">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8D21C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5A62D2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007A05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6A120E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0277B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7EF3FE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206097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AA627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769E4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65D9E8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5F3C3C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3862B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5184A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1FFB24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3B754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4E67A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46E3F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2FD009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88340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00A3A46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6012BA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435B1C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F59BE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9F5E81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8DCEB0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573D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6E4D9A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4A2E89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13B157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96373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C38463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575D61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086F39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49CD308">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9068B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CBE57D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723300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3B4DF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F82D1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CCDD4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98B94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42D775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7E4AE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181223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01F75B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7F4867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B674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28A9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92F0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0BBE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E6A20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D4D6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A4EE3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6361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5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A7754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33EC9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A23F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826C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6F94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3BEF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B1B5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BF8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B7CE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1F3D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7F307F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A9AEA2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52F57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C0C6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5363F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A20E5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8B7E2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788B7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5D2331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166A63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3A288F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56EF9431">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7F65D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FF1581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0E182E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681CCCF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E2F9A5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5AC02E29">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二、技术文件</w:t>
      </w:r>
    </w:p>
    <w:p w14:paraId="5FD40023">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1、安保服务方案</w:t>
      </w:r>
    </w:p>
    <w:p w14:paraId="05D4FF6F">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2、保洁服务方案</w:t>
      </w:r>
    </w:p>
    <w:p w14:paraId="00ABFB83">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3、水电维修方案</w:t>
      </w:r>
    </w:p>
    <w:p w14:paraId="72022E6A">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4、绿地管护方案</w:t>
      </w:r>
    </w:p>
    <w:p w14:paraId="05879964">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5、会议及办案区住宿房间服务方案</w:t>
      </w:r>
    </w:p>
    <w:p w14:paraId="7C5DD169">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6、电梯维护方案</w:t>
      </w:r>
    </w:p>
    <w:p w14:paraId="41CD71A4">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7、人员配备</w:t>
      </w:r>
    </w:p>
    <w:p w14:paraId="58896C69">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8、拟投入的设备</w:t>
      </w:r>
    </w:p>
    <w:p w14:paraId="6DF183A7">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9、管理制度</w:t>
      </w:r>
    </w:p>
    <w:p w14:paraId="7F11EA9B">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10、应急预案</w:t>
      </w:r>
    </w:p>
    <w:p w14:paraId="2DFDE425">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43D03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D5A9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6F5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345192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39020A11">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4C295B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209DD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00DEAF0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54A077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3A88138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C102D1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65E510C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792F32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30FB49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8D6E0B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784FB7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2083ACE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290732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318DB9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50D504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0C9477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413504E3">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C26AB9">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5C0B9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D943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6A1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99F22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48427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A0C95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A9B32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8DFBD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8214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6A8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BACFD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25A2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A7473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C2C86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D5FC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A07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F26A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8BED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7043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AC7C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DF61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52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64F8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A8AC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6BCD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510FF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F5CC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953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781CA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2A14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3553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9A072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7764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7B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34D2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F8CF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92F3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135DD9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3C0C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26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A4134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A86DB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3EC8F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0141F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1BD5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913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0CE2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4CCB3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498D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258A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8AE7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7E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EFCB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DBBC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5F3BA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18BA6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0DD4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B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58980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1669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095BA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FC25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0015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85F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C91A2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60F43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6049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19C2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4EA1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6C8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7A29E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832B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6B8A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9F587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D4CE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35DEE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5EE8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0AA84C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F0ED2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25E193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8999B6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2F530A0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27306C1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777BACA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A822E7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4B8452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47310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998F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46062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7650F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6006C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2AAD7C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1281A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97266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31807F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2E9D24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DEBF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905B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ED7D555">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D54C4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E3108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7B292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231894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4F2E1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E2430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164DE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7C5A2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1820C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C769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723EA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884AB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B877DD0">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D7475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9819D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14B710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1E778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37B1A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0A290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61DA3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71A39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F42CA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916FB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7C179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A12C9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01A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B4F0D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6FBB5B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688DB8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02B1B9A7">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7282D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p w14:paraId="32A64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23B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A12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8A12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BE7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3816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03816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7584">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31D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031D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6F4D">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590F">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1195">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80268A"/>
    <w:rsid w:val="13C5707D"/>
    <w:rsid w:val="13F07810"/>
    <w:rsid w:val="1446371A"/>
    <w:rsid w:val="146A5814"/>
    <w:rsid w:val="14EC3DCF"/>
    <w:rsid w:val="15037E2D"/>
    <w:rsid w:val="156B2323"/>
    <w:rsid w:val="158F12AA"/>
    <w:rsid w:val="15AC3C0A"/>
    <w:rsid w:val="15B05882"/>
    <w:rsid w:val="15E04F64"/>
    <w:rsid w:val="164719A8"/>
    <w:rsid w:val="164A7458"/>
    <w:rsid w:val="167331AE"/>
    <w:rsid w:val="16F45CE8"/>
    <w:rsid w:val="16FC049F"/>
    <w:rsid w:val="174C193E"/>
    <w:rsid w:val="179B0D80"/>
    <w:rsid w:val="17B27393"/>
    <w:rsid w:val="17CE654F"/>
    <w:rsid w:val="17E20058"/>
    <w:rsid w:val="183D23CB"/>
    <w:rsid w:val="18510AEB"/>
    <w:rsid w:val="18610CDC"/>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D0CD5"/>
    <w:rsid w:val="1F8737CC"/>
    <w:rsid w:val="1FE61854"/>
    <w:rsid w:val="1FF31541"/>
    <w:rsid w:val="20F10837"/>
    <w:rsid w:val="210939CE"/>
    <w:rsid w:val="212D6A29"/>
    <w:rsid w:val="217E2260"/>
    <w:rsid w:val="21DC7625"/>
    <w:rsid w:val="21E33D7D"/>
    <w:rsid w:val="22545716"/>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0A1914"/>
    <w:rsid w:val="291476A5"/>
    <w:rsid w:val="2944096C"/>
    <w:rsid w:val="29462E99"/>
    <w:rsid w:val="29C94933"/>
    <w:rsid w:val="29EF5E58"/>
    <w:rsid w:val="2A5E573D"/>
    <w:rsid w:val="2A870159"/>
    <w:rsid w:val="2ABA04F6"/>
    <w:rsid w:val="2AD7512C"/>
    <w:rsid w:val="2B296C36"/>
    <w:rsid w:val="2B32017A"/>
    <w:rsid w:val="2B4C1378"/>
    <w:rsid w:val="2BD35370"/>
    <w:rsid w:val="2C4C3D72"/>
    <w:rsid w:val="2CA1464D"/>
    <w:rsid w:val="2CB368C6"/>
    <w:rsid w:val="2CE542E8"/>
    <w:rsid w:val="2D4C797B"/>
    <w:rsid w:val="2D854259"/>
    <w:rsid w:val="2DC25921"/>
    <w:rsid w:val="2DD5743D"/>
    <w:rsid w:val="2DF6291A"/>
    <w:rsid w:val="2DFB1083"/>
    <w:rsid w:val="2E037ECE"/>
    <w:rsid w:val="2E123636"/>
    <w:rsid w:val="2EDE4089"/>
    <w:rsid w:val="2F795793"/>
    <w:rsid w:val="2F7E5B21"/>
    <w:rsid w:val="2FAF3423"/>
    <w:rsid w:val="305F18E8"/>
    <w:rsid w:val="30825757"/>
    <w:rsid w:val="311741D6"/>
    <w:rsid w:val="3119309A"/>
    <w:rsid w:val="312A5594"/>
    <w:rsid w:val="312C625F"/>
    <w:rsid w:val="31C81974"/>
    <w:rsid w:val="32230959"/>
    <w:rsid w:val="328B08A3"/>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D1A2A"/>
    <w:rsid w:val="407F405E"/>
    <w:rsid w:val="409370B0"/>
    <w:rsid w:val="40D41902"/>
    <w:rsid w:val="41884B35"/>
    <w:rsid w:val="42044303"/>
    <w:rsid w:val="42100EF9"/>
    <w:rsid w:val="42360234"/>
    <w:rsid w:val="423849B8"/>
    <w:rsid w:val="435F746A"/>
    <w:rsid w:val="4372309F"/>
    <w:rsid w:val="44093E52"/>
    <w:rsid w:val="444E5D13"/>
    <w:rsid w:val="446F3136"/>
    <w:rsid w:val="44790C24"/>
    <w:rsid w:val="45100B70"/>
    <w:rsid w:val="453A628D"/>
    <w:rsid w:val="45CF0C25"/>
    <w:rsid w:val="45D92790"/>
    <w:rsid w:val="45DD7715"/>
    <w:rsid w:val="46300235"/>
    <w:rsid w:val="46794807"/>
    <w:rsid w:val="47503B46"/>
    <w:rsid w:val="4770652A"/>
    <w:rsid w:val="47C562E2"/>
    <w:rsid w:val="47C81344"/>
    <w:rsid w:val="47EC5038"/>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453CD9"/>
    <w:rsid w:val="4E7A34EC"/>
    <w:rsid w:val="4E861641"/>
    <w:rsid w:val="4FAB04B3"/>
    <w:rsid w:val="4FB426AD"/>
    <w:rsid w:val="4FEE2DC9"/>
    <w:rsid w:val="50067E95"/>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164D3"/>
    <w:rsid w:val="5F321771"/>
    <w:rsid w:val="5F3A0F0C"/>
    <w:rsid w:val="5F412CC2"/>
    <w:rsid w:val="5FE2771E"/>
    <w:rsid w:val="600E6D7C"/>
    <w:rsid w:val="605024F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855FCD"/>
    <w:rsid w:val="69941325"/>
    <w:rsid w:val="69BC17E8"/>
    <w:rsid w:val="69DD77FF"/>
    <w:rsid w:val="6A0360EE"/>
    <w:rsid w:val="6A517C50"/>
    <w:rsid w:val="6AE37CE3"/>
    <w:rsid w:val="6B0625EA"/>
    <w:rsid w:val="6B5442BA"/>
    <w:rsid w:val="6C593408"/>
    <w:rsid w:val="6C68544B"/>
    <w:rsid w:val="6C785167"/>
    <w:rsid w:val="6CF5719B"/>
    <w:rsid w:val="6D0715D4"/>
    <w:rsid w:val="6DDB2C74"/>
    <w:rsid w:val="6DE35014"/>
    <w:rsid w:val="6E0E0C0F"/>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81E8A"/>
    <w:rsid w:val="754A398B"/>
    <w:rsid w:val="75857AA3"/>
    <w:rsid w:val="758D5DE2"/>
    <w:rsid w:val="75943299"/>
    <w:rsid w:val="76017BAF"/>
    <w:rsid w:val="760D48E0"/>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BE6A52"/>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next w:val="2"/>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2"/>
    <w:next w:val="1"/>
    <w:qFormat/>
    <w:uiPriority w:val="99"/>
    <w:pPr>
      <w:spacing w:after="120" w:afterLines="0"/>
      <w:ind w:firstLine="420" w:firstLineChars="100"/>
    </w:pPr>
    <w:rPr>
      <w:rFonts w:ascii="Times New Roman" w:eastAsia="宋体"/>
      <w:sz w:val="21"/>
    </w:rPr>
  </w:style>
  <w:style w:type="paragraph" w:styleId="19">
    <w:name w:val="Body Text First Indent 2"/>
    <w:basedOn w:val="7"/>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autoRedefine/>
    <w:qFormat/>
    <w:uiPriority w:val="99"/>
    <w:pPr>
      <w:autoSpaceDE w:val="0"/>
      <w:autoSpaceDN w:val="0"/>
      <w:jc w:val="left"/>
    </w:pPr>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2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Date1"/>
    <w:basedOn w:val="1"/>
    <w:next w:val="1"/>
    <w:qFormat/>
    <w:uiPriority w:val="0"/>
    <w:rPr>
      <w:kern w:val="2"/>
      <w:lang w:eastAsia="zh-CN"/>
    </w:rPr>
  </w:style>
  <w:style w:type="paragraph" w:customStyle="1" w:styleId="3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Arial" w:hAnsi="Arial" w:eastAsia="Arial" w:cs="Arial"/>
      <w:sz w:val="21"/>
      <w:szCs w:val="21"/>
      <w:lang w:val="en-US" w:eastAsia="en-US" w:bidi="ar-SA"/>
    </w:rPr>
  </w:style>
  <w:style w:type="paragraph" w:customStyle="1" w:styleId="34">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5">
    <w:name w:val="hover18"/>
    <w:basedOn w:val="22"/>
    <w:autoRedefine/>
    <w:qFormat/>
    <w:uiPriority w:val="0"/>
  </w:style>
  <w:style w:type="paragraph" w:customStyle="1" w:styleId="36">
    <w:name w:val="列出段落1"/>
    <w:basedOn w:val="1"/>
    <w:autoRedefine/>
    <w:qFormat/>
    <w:uiPriority w:val="0"/>
    <w:pPr>
      <w:ind w:firstLine="420" w:firstLineChars="200"/>
    </w:pPr>
    <w:rPr>
      <w:szCs w:val="21"/>
    </w:rPr>
  </w:style>
  <w:style w:type="paragraph" w:styleId="37">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8">
    <w:name w:val="fontstyle01"/>
    <w:basedOn w:val="22"/>
    <w:qFormat/>
    <w:uiPriority w:val="0"/>
    <w:rPr>
      <w:rFonts w:hint="eastAsia" w:ascii="宋体" w:hAnsi="宋体" w:eastAsia="宋体" w:cs="宋体"/>
      <w:color w:val="000000"/>
      <w:sz w:val="24"/>
      <w:szCs w:val="24"/>
    </w:rPr>
  </w:style>
  <w:style w:type="character" w:customStyle="1" w:styleId="39">
    <w:name w:val="fontstyle21"/>
    <w:basedOn w:val="22"/>
    <w:qFormat/>
    <w:uiPriority w:val="0"/>
    <w:rPr>
      <w:rFonts w:hint="default" w:ascii="Times New Roman" w:hAnsi="Times New Roman" w:cs="Times New Roman"/>
      <w:color w:val="000000"/>
      <w:sz w:val="22"/>
      <w:szCs w:val="22"/>
    </w:rPr>
  </w:style>
  <w:style w:type="paragraph" w:customStyle="1" w:styleId="40">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16965</Words>
  <Characters>17875</Characters>
  <TotalTime>0</TotalTime>
  <ScaleCrop>false</ScaleCrop>
  <LinksUpToDate>false</LinksUpToDate>
  <CharactersWithSpaces>18175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2025-10-09T08:55:48Z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6DE3314A26CA47779A2FCFE2CB3BB098_13</vt:lpwstr>
  </property>
  <property fmtid="{D5CDD505-2E9C-101B-9397-08002B2CF9AE}" pid="6" name="KSOTemplateDocerSaveRecord">
    <vt:lpwstr>eyJoZGlkIjoiNTRhZmI2YjI3MzQwYzY4YjFhODMwMWViZDQyYjJjNjkiLCJ1c2VySWQiOiI1NTA3MjEzNTcifQ==</vt:lpwstr>
  </property>
</Properties>
</file>