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871E">
      <w:pPr>
        <w:jc w:val="center"/>
        <w:rPr>
          <w:rFonts w:hint="eastAsia" w:ascii="黑体" w:hAnsi="黑体" w:eastAsia="黑体" w:cs="Times New Roman"/>
          <w:bCs/>
          <w:color w:val="000000" w:themeColor="text1"/>
          <w:sz w:val="42"/>
          <w:szCs w:val="42"/>
          <w:lang w:eastAsia="zh-CN"/>
          <w14:textFill>
            <w14:solidFill>
              <w14:schemeClr w14:val="tx1"/>
            </w14:solidFill>
          </w14:textFill>
        </w:rPr>
      </w:pPr>
      <w:r>
        <w:rPr>
          <w:rFonts w:hint="eastAsia" w:ascii="黑体" w:hAnsi="黑体" w:eastAsia="黑体" w:cs="Times New Roman"/>
          <w:bCs/>
          <w:color w:val="000000" w:themeColor="text1"/>
          <w:sz w:val="42"/>
          <w:szCs w:val="42"/>
          <w:lang w:eastAsia="zh-CN"/>
          <w14:textFill>
            <w14:solidFill>
              <w14:schemeClr w14:val="tx1"/>
            </w14:solidFill>
          </w14:textFill>
        </w:rPr>
        <w:t>2025年中国桨板超级联赛暨第三届“陕州·黄河杯”桨板挑战赛采购项目</w:t>
      </w:r>
    </w:p>
    <w:p w14:paraId="11568148">
      <w:pPr>
        <w:jc w:val="both"/>
        <w:rPr>
          <w:rFonts w:ascii="黑体" w:hAnsi="黑体" w:eastAsia="黑体" w:cs="Times New Roman"/>
          <w:bCs/>
          <w:color w:val="000000" w:themeColor="text1"/>
          <w:sz w:val="52"/>
          <w:szCs w:val="52"/>
          <w14:textFill>
            <w14:solidFill>
              <w14:schemeClr w14:val="tx1"/>
            </w14:solidFill>
          </w14:textFill>
        </w:rPr>
      </w:pPr>
    </w:p>
    <w:p w14:paraId="6C7A0279">
      <w:pPr>
        <w:jc w:val="center"/>
        <w:rPr>
          <w:rFonts w:ascii="黑体" w:hAnsi="黑体" w:eastAsia="黑体" w:cs="Times New Roman"/>
          <w:bCs/>
          <w:color w:val="000000" w:themeColor="text1"/>
          <w:sz w:val="52"/>
          <w:szCs w:val="52"/>
          <w14:textFill>
            <w14:solidFill>
              <w14:schemeClr w14:val="tx1"/>
            </w14:solidFill>
          </w14:textFill>
        </w:rPr>
      </w:pPr>
      <w:r>
        <w:rPr>
          <w:rFonts w:hint="eastAsia" w:ascii="黑体" w:hAnsi="黑体" w:eastAsia="黑体" w:cs="Times New Roman"/>
          <w:bCs/>
          <w:color w:val="000000" w:themeColor="text1"/>
          <w:sz w:val="52"/>
          <w:szCs w:val="52"/>
          <w14:textFill>
            <w14:solidFill>
              <w14:schemeClr w14:val="tx1"/>
            </w14:solidFill>
          </w14:textFill>
        </w:rPr>
        <w:t>竞争性磋商文件</w:t>
      </w:r>
    </w:p>
    <w:p w14:paraId="59A5BA21">
      <w:pPr>
        <w:jc w:val="center"/>
        <w:rPr>
          <w:rFonts w:ascii="黑体" w:hAnsi="黑体" w:eastAsia="黑体" w:cs="Times New Roman"/>
          <w:bCs/>
          <w:color w:val="000000" w:themeColor="text1"/>
          <w:sz w:val="28"/>
          <w:szCs w:val="28"/>
          <w14:textFill>
            <w14:solidFill>
              <w14:schemeClr w14:val="tx1"/>
            </w14:solidFill>
          </w14:textFill>
        </w:rPr>
      </w:pPr>
      <w:r>
        <w:rPr>
          <w:rFonts w:hAnsi="黑体" w:eastAsia="黑体"/>
          <w:szCs w:val="28"/>
        </w:rPr>
        <w:drawing>
          <wp:inline distT="0" distB="0" distL="0" distR="0">
            <wp:extent cx="2637155" cy="1930400"/>
            <wp:effectExtent l="0" t="0" r="10795" b="12700"/>
            <wp:docPr id="2" name="图片 15" descr="微信图片_20200414133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5" descr="微信图片_20200414133327"/>
                    <pic:cNvPicPr>
                      <a:picLocks noChangeAspect="1" noChangeArrowheads="1"/>
                    </pic:cNvPicPr>
                  </pic:nvPicPr>
                  <pic:blipFill>
                    <a:blip r:embed="rId5"/>
                    <a:srcRect/>
                    <a:stretch>
                      <a:fillRect/>
                    </a:stretch>
                  </pic:blipFill>
                  <pic:spPr>
                    <a:xfrm>
                      <a:off x="0" y="0"/>
                      <a:ext cx="2637155" cy="1930400"/>
                    </a:xfrm>
                    <a:prstGeom prst="rect">
                      <a:avLst/>
                    </a:prstGeom>
                    <a:noFill/>
                    <a:ln w="9525">
                      <a:noFill/>
                      <a:miter lim="800000"/>
                      <a:headEnd/>
                      <a:tailEnd/>
                    </a:ln>
                  </pic:spPr>
                </pic:pic>
              </a:graphicData>
            </a:graphic>
          </wp:inline>
        </w:drawing>
      </w:r>
    </w:p>
    <w:p w14:paraId="0EBA4907">
      <w:pPr>
        <w:jc w:val="center"/>
        <w:rPr>
          <w:rFonts w:hint="eastAsia" w:ascii="黑体" w:hAnsi="黑体" w:eastAsia="黑体" w:cs="Times New Roman"/>
          <w:color w:val="000000" w:themeColor="text1"/>
          <w:kern w:val="2"/>
          <w:sz w:val="28"/>
          <w:szCs w:val="28"/>
          <w:lang w:val="en-US" w:eastAsia="zh-CN" w:bidi="ar-SA"/>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项目编号</w:t>
      </w:r>
      <w:r>
        <w:rPr>
          <w:rFonts w:hint="eastAsia" w:ascii="黑体" w:hAnsi="黑体" w:eastAsia="黑体" w:cs="Times New Roman"/>
          <w:color w:val="000000" w:themeColor="text1"/>
          <w:sz w:val="28"/>
          <w:szCs w:val="28"/>
          <w:lang w:eastAsia="zh-CN"/>
          <w14:textFill>
            <w14:solidFill>
              <w14:schemeClr w14:val="tx1"/>
            </w14:solidFill>
          </w14:textFill>
        </w:rPr>
        <w:t>：陕州竞磋采购</w:t>
      </w:r>
      <w:r>
        <w:rPr>
          <w:rFonts w:hint="eastAsia" w:ascii="黑体" w:hAnsi="黑体" w:eastAsia="黑体" w:cs="Times New Roman"/>
          <w:color w:val="000000" w:themeColor="text1"/>
          <w:sz w:val="28"/>
          <w:szCs w:val="28"/>
          <w:lang w:val="en-US" w:eastAsia="zh-CN"/>
          <w14:textFill>
            <w14:solidFill>
              <w14:schemeClr w14:val="tx1"/>
            </w14:solidFill>
          </w14:textFill>
        </w:rPr>
        <w:t>-2025-11、</w:t>
      </w:r>
      <w:r>
        <w:rPr>
          <w:rFonts w:hint="eastAsia" w:ascii="黑体" w:hAnsi="黑体" w:eastAsia="黑体" w:cs="Times New Roman"/>
          <w:color w:val="000000" w:themeColor="text1"/>
          <w:kern w:val="2"/>
          <w:sz w:val="28"/>
          <w:szCs w:val="28"/>
          <w:lang w:val="en-US" w:eastAsia="zh-CN" w:bidi="ar-SA"/>
          <w14:textFill>
            <w14:solidFill>
              <w14:schemeClr w14:val="tx1"/>
            </w14:solidFill>
          </w14:textFill>
        </w:rPr>
        <w:t>SZGZ【2025】019-ZC014</w:t>
      </w:r>
    </w:p>
    <w:p w14:paraId="12A1FFAF">
      <w:pPr>
        <w:ind w:firstLine="1820" w:firstLineChars="650"/>
        <w:rPr>
          <w:rFonts w:ascii="黑体" w:hAnsi="黑体" w:eastAsia="黑体" w:cs="Times New Roman"/>
          <w:color w:val="000000" w:themeColor="text1"/>
          <w:sz w:val="28"/>
          <w:szCs w:val="28"/>
          <w14:textFill>
            <w14:solidFill>
              <w14:schemeClr w14:val="tx1"/>
            </w14:solidFill>
          </w14:textFill>
        </w:rPr>
      </w:pPr>
    </w:p>
    <w:p w14:paraId="428FA10E">
      <w:pPr>
        <w:ind w:firstLine="1820" w:firstLineChars="650"/>
        <w:rPr>
          <w:rFonts w:ascii="黑体" w:hAnsi="黑体" w:eastAsia="黑体" w:cs="Times New Roman"/>
          <w:color w:val="000000" w:themeColor="text1"/>
          <w:sz w:val="28"/>
          <w:szCs w:val="28"/>
          <w14:textFill>
            <w14:solidFill>
              <w14:schemeClr w14:val="tx1"/>
            </w14:solidFill>
          </w14:textFill>
        </w:rPr>
      </w:pPr>
    </w:p>
    <w:p w14:paraId="6EA90932">
      <w:pPr>
        <w:ind w:firstLine="1820" w:firstLineChars="650"/>
        <w:rPr>
          <w:rFonts w:ascii="黑体" w:hAnsi="黑体" w:eastAsia="黑体" w:cs="Times New Roman"/>
          <w:color w:val="000000" w:themeColor="text1"/>
          <w:sz w:val="28"/>
          <w:szCs w:val="28"/>
          <w14:textFill>
            <w14:solidFill>
              <w14:schemeClr w14:val="tx1"/>
            </w14:solidFill>
          </w14:textFill>
        </w:rPr>
      </w:pPr>
    </w:p>
    <w:p w14:paraId="5AEE5C13">
      <w:pPr>
        <w:ind w:firstLine="1820" w:firstLineChars="650"/>
        <w:rPr>
          <w:rFonts w:ascii="黑体" w:hAnsi="黑体" w:eastAsia="黑体" w:cs="Times New Roman"/>
          <w:color w:val="000000" w:themeColor="text1"/>
          <w:sz w:val="28"/>
          <w:szCs w:val="28"/>
          <w14:textFill>
            <w14:solidFill>
              <w14:schemeClr w14:val="tx1"/>
            </w14:solidFill>
          </w14:textFill>
        </w:rPr>
      </w:pPr>
    </w:p>
    <w:p w14:paraId="6019F293">
      <w:pPr>
        <w:ind w:firstLine="1820" w:firstLineChars="650"/>
        <w:rPr>
          <w:rFonts w:ascii="黑体" w:hAnsi="黑体" w:eastAsia="黑体" w:cs="Times New Roman"/>
          <w:color w:val="000000" w:themeColor="text1"/>
          <w:sz w:val="28"/>
          <w:szCs w:val="28"/>
          <w14:textFill>
            <w14:solidFill>
              <w14:schemeClr w14:val="tx1"/>
            </w14:solidFill>
          </w14:textFill>
        </w:rPr>
      </w:pPr>
    </w:p>
    <w:p w14:paraId="0848D96A">
      <w:pPr>
        <w:pStyle w:val="6"/>
      </w:pPr>
    </w:p>
    <w:p w14:paraId="0EDF5A63">
      <w:pPr>
        <w:ind w:firstLine="980" w:firstLineChars="350"/>
        <w:rPr>
          <w:rFonts w:hint="eastAsia" w:ascii="黑体" w:hAnsi="黑体" w:eastAsia="黑体" w:cs="Times New Roman"/>
          <w:color w:val="000000" w:themeColor="text1"/>
          <w:sz w:val="28"/>
          <w:szCs w:val="28"/>
          <w:lang w:eastAsia="zh-CN"/>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采  购  人：</w:t>
      </w:r>
      <w:r>
        <w:rPr>
          <w:rFonts w:hint="eastAsia" w:ascii="黑体" w:hAnsi="黑体" w:eastAsia="黑体" w:cs="Times New Roman"/>
          <w:bCs/>
          <w:color w:val="000000" w:themeColor="text1"/>
          <w:sz w:val="28"/>
          <w:szCs w:val="28"/>
          <w:lang w:eastAsia="zh-CN"/>
          <w14:textFill>
            <w14:solidFill>
              <w14:schemeClr w14:val="tx1"/>
            </w14:solidFill>
          </w14:textFill>
        </w:rPr>
        <w:t>三门峡市陕州区教育体育局</w:t>
      </w:r>
    </w:p>
    <w:p w14:paraId="22B0132C">
      <w:pPr>
        <w:ind w:firstLine="980" w:firstLineChars="350"/>
        <w:rPr>
          <w:rFonts w:hint="eastAsia" w:ascii="黑体" w:hAnsi="黑体" w:eastAsia="黑体" w:cs="Times New Roman"/>
          <w:color w:val="000000" w:themeColor="text1"/>
          <w:sz w:val="28"/>
          <w:szCs w:val="28"/>
          <w:lang w:eastAsia="zh-CN"/>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代 理 机 构：</w:t>
      </w:r>
      <w:r>
        <w:rPr>
          <w:rFonts w:hint="eastAsia" w:ascii="黑体" w:hAnsi="黑体" w:eastAsia="黑体" w:cs="Times New Roman"/>
          <w:color w:val="000000" w:themeColor="text1"/>
          <w:sz w:val="28"/>
          <w:szCs w:val="28"/>
          <w:lang w:eastAsia="zh-CN"/>
          <w14:textFill>
            <w14:solidFill>
              <w14:schemeClr w14:val="tx1"/>
            </w14:solidFill>
          </w14:textFill>
        </w:rPr>
        <w:t>河南晨宇咨询有限公司</w:t>
      </w:r>
    </w:p>
    <w:p w14:paraId="20785217">
      <w:pPr>
        <w:ind w:firstLine="980" w:firstLineChars="350"/>
        <w:rPr>
          <w:rFonts w:hint="eastAsia" w:ascii="黑体" w:hAnsi="黑体" w:eastAsia="黑体" w:cs="Times New Roman"/>
          <w:color w:val="000000" w:themeColor="text1"/>
          <w:sz w:val="28"/>
          <w:szCs w:val="28"/>
          <w14:textFill>
            <w14:solidFill>
              <w14:schemeClr w14:val="tx1"/>
            </w14:solidFill>
          </w14:textFill>
        </w:rPr>
      </w:pPr>
      <w:r>
        <w:rPr>
          <w:rFonts w:hint="eastAsia" w:ascii="黑体" w:hAnsi="黑体" w:eastAsia="黑体" w:cs="Times New Roman"/>
          <w:color w:val="000000" w:themeColor="text1"/>
          <w:sz w:val="28"/>
          <w:szCs w:val="28"/>
          <w14:textFill>
            <w14:solidFill>
              <w14:schemeClr w14:val="tx1"/>
            </w14:solidFill>
          </w14:textFill>
        </w:rPr>
        <w:t xml:space="preserve">日      </w:t>
      </w:r>
      <w:r>
        <w:rPr>
          <w:rFonts w:hint="eastAsia" w:ascii="黑体" w:hAnsi="黑体" w:eastAsia="黑体" w:cs="Times New Roman"/>
          <w:color w:val="000000" w:themeColor="text1"/>
          <w:sz w:val="28"/>
          <w:szCs w:val="28"/>
          <w:lang w:eastAsia="zh-CN"/>
          <w14:textFill>
            <w14:solidFill>
              <w14:schemeClr w14:val="tx1"/>
            </w14:solidFill>
          </w14:textFill>
        </w:rPr>
        <w:t xml:space="preserve"> 期：二〇二五年三月</w:t>
      </w:r>
    </w:p>
    <w:p w14:paraId="766B8939">
      <w:pPr>
        <w:pStyle w:val="11"/>
        <w:rPr>
          <w:rFonts w:hint="eastAsia" w:ascii="黑体" w:hAnsi="黑体" w:eastAsia="黑体" w:cs="Times New Roman"/>
          <w:color w:val="000000" w:themeColor="text1"/>
          <w:sz w:val="28"/>
          <w:szCs w:val="28"/>
          <w14:textFill>
            <w14:solidFill>
              <w14:schemeClr w14:val="tx1"/>
            </w14:solidFill>
          </w14:textFill>
        </w:rPr>
      </w:pPr>
    </w:p>
    <w:p w14:paraId="77ED5A64"/>
    <w:p w14:paraId="04109E8C">
      <w:pPr>
        <w:jc w:val="center"/>
        <w:rPr>
          <w:rFonts w:ascii="Calibri" w:hAnsi="Calibri" w:eastAsia="宋体" w:cs="Times New Roman"/>
          <w:b/>
          <w:color w:val="000000" w:themeColor="text1"/>
          <w:sz w:val="28"/>
          <w:szCs w:val="28"/>
          <w14:textFill>
            <w14:solidFill>
              <w14:schemeClr w14:val="tx1"/>
            </w14:solidFill>
          </w14:textFill>
        </w:rPr>
      </w:pPr>
      <w:r>
        <w:rPr>
          <w:rFonts w:hint="eastAsia" w:ascii="Calibri" w:hAnsi="Calibri" w:eastAsia="宋体" w:cs="Times New Roman"/>
          <w:b/>
          <w:color w:val="000000" w:themeColor="text1"/>
          <w:sz w:val="28"/>
          <w:szCs w:val="28"/>
          <w14:textFill>
            <w14:solidFill>
              <w14:schemeClr w14:val="tx1"/>
            </w14:solidFill>
          </w14:textFill>
        </w:rPr>
        <w:t>目  录</w:t>
      </w:r>
    </w:p>
    <w:p w14:paraId="33C8A10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b/>
          <w:bCs w:val="0"/>
        </w:rPr>
      </w:pPr>
      <w:r>
        <w:rPr>
          <w:rFonts w:ascii="仿宋_GB2312" w:hAnsi="Times New Roman" w:eastAsia="仿宋_GB2312"/>
          <w:b/>
          <w:bCs w:val="0"/>
          <w:color w:val="000000" w:themeColor="text1"/>
          <w:kern w:val="0"/>
          <w:sz w:val="28"/>
          <w:szCs w:val="28"/>
          <w14:textFill>
            <w14:solidFill>
              <w14:schemeClr w14:val="tx1"/>
            </w14:solidFill>
          </w14:textFill>
        </w:rPr>
        <w:fldChar w:fldCharType="begin"/>
      </w:r>
      <w:r>
        <w:rPr>
          <w:rFonts w:ascii="仿宋_GB2312" w:hAnsi="Times New Roman" w:eastAsia="仿宋_GB2312"/>
          <w:b/>
          <w:bCs w:val="0"/>
          <w:color w:val="000000" w:themeColor="text1"/>
          <w:kern w:val="0"/>
          <w:sz w:val="28"/>
          <w:szCs w:val="28"/>
          <w14:textFill>
            <w14:solidFill>
              <w14:schemeClr w14:val="tx1"/>
            </w14:solidFill>
          </w14:textFill>
        </w:rPr>
        <w:instrText xml:space="preserve"> TOC \o "1-2" \h \z \u </w:instrText>
      </w:r>
      <w:r>
        <w:rPr>
          <w:rFonts w:ascii="仿宋_GB2312" w:hAnsi="Times New Roman" w:eastAsia="仿宋_GB2312"/>
          <w:b/>
          <w:bCs w:val="0"/>
          <w:color w:val="000000" w:themeColor="text1"/>
          <w:kern w:val="0"/>
          <w:sz w:val="28"/>
          <w:szCs w:val="28"/>
          <w14:textFill>
            <w14:solidFill>
              <w14:schemeClr w14:val="tx1"/>
            </w14:solidFill>
          </w14:textFill>
        </w:rPr>
        <w:fldChar w:fldCharType="separate"/>
      </w:r>
      <w:r>
        <w:rPr>
          <w:rFonts w:ascii="仿宋_GB2312" w:hAnsi="Times New Roman" w:eastAsia="仿宋_GB2312"/>
          <w:b/>
          <w:bCs w:val="0"/>
          <w:color w:val="000000" w:themeColor="text1"/>
          <w:kern w:val="0"/>
          <w:szCs w:val="28"/>
          <w14:textFill>
            <w14:solidFill>
              <w14:schemeClr w14:val="tx1"/>
            </w14:solidFill>
          </w14:textFill>
        </w:rPr>
        <w:fldChar w:fldCharType="begin"/>
      </w:r>
      <w:r>
        <w:rPr>
          <w:rFonts w:ascii="仿宋_GB2312" w:hAnsi="Times New Roman" w:eastAsia="仿宋_GB2312"/>
          <w:b/>
          <w:bCs w:val="0"/>
          <w:kern w:val="0"/>
          <w:szCs w:val="28"/>
        </w:rPr>
        <w:instrText xml:space="preserve"> HYPERLINK \l _Toc6973 </w:instrText>
      </w:r>
      <w:r>
        <w:rPr>
          <w:rFonts w:ascii="仿宋_GB2312" w:hAnsi="Times New Roman" w:eastAsia="仿宋_GB2312"/>
          <w:b/>
          <w:bCs w:val="0"/>
          <w:kern w:val="0"/>
          <w:szCs w:val="28"/>
        </w:rPr>
        <w:fldChar w:fldCharType="separate"/>
      </w:r>
      <w:r>
        <w:rPr>
          <w:rFonts w:hint="default" w:ascii="宋体" w:hAnsi="宋体" w:eastAsia="宋体" w:cs="宋体"/>
          <w:b/>
          <w:bCs w:val="0"/>
          <w:kern w:val="0"/>
          <w:szCs w:val="36"/>
        </w:rPr>
        <w:t xml:space="preserve">第一章 </w:t>
      </w:r>
      <w:r>
        <w:rPr>
          <w:rFonts w:hint="eastAsia" w:ascii="宋体" w:hAnsi="宋体" w:eastAsia="宋体" w:cs="宋体"/>
          <w:b/>
          <w:bCs w:val="0"/>
          <w:kern w:val="0"/>
          <w:szCs w:val="36"/>
          <w:lang w:val="en-US" w:eastAsia="zh-CN"/>
        </w:rPr>
        <w:t xml:space="preserve"> </w:t>
      </w:r>
      <w:r>
        <w:rPr>
          <w:rFonts w:hint="eastAsia" w:ascii="宋体" w:hAnsi="宋体" w:eastAsia="宋体" w:cs="宋体"/>
          <w:b/>
          <w:bCs w:val="0"/>
          <w:kern w:val="0"/>
          <w:szCs w:val="36"/>
        </w:rPr>
        <w:t>竞争性磋商公告</w:t>
      </w:r>
      <w:r>
        <w:rPr>
          <w:b/>
          <w:bCs w:val="0"/>
        </w:rPr>
        <w:tab/>
      </w:r>
      <w:r>
        <w:rPr>
          <w:b/>
          <w:bCs w:val="0"/>
        </w:rPr>
        <w:fldChar w:fldCharType="begin"/>
      </w:r>
      <w:r>
        <w:rPr>
          <w:b/>
          <w:bCs w:val="0"/>
        </w:rPr>
        <w:instrText xml:space="preserve"> PAGEREF _Toc6973 \h </w:instrText>
      </w:r>
      <w:r>
        <w:rPr>
          <w:b/>
          <w:bCs w:val="0"/>
        </w:rPr>
        <w:fldChar w:fldCharType="separate"/>
      </w:r>
      <w:r>
        <w:rPr>
          <w:b/>
          <w:bCs w:val="0"/>
        </w:rPr>
        <w:t>3</w:t>
      </w:r>
      <w:r>
        <w:rPr>
          <w:b/>
          <w:bCs w:val="0"/>
        </w:rPr>
        <w:fldChar w:fldCharType="end"/>
      </w:r>
      <w:r>
        <w:rPr>
          <w:rFonts w:ascii="仿宋_GB2312" w:hAnsi="Times New Roman" w:eastAsia="仿宋_GB2312"/>
          <w:b/>
          <w:bCs w:val="0"/>
          <w:color w:val="000000" w:themeColor="text1"/>
          <w:kern w:val="0"/>
          <w:szCs w:val="28"/>
          <w14:textFill>
            <w14:solidFill>
              <w14:schemeClr w14:val="tx1"/>
            </w14:solidFill>
          </w14:textFill>
        </w:rPr>
        <w:fldChar w:fldCharType="end"/>
      </w:r>
    </w:p>
    <w:p w14:paraId="364133FA">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b/>
          <w:bCs w:val="0"/>
        </w:rPr>
      </w:pPr>
      <w:r>
        <w:rPr>
          <w:rFonts w:ascii="仿宋_GB2312" w:eastAsia="仿宋_GB2312"/>
          <w:b/>
          <w:bCs w:val="0"/>
          <w:color w:val="000000" w:themeColor="text1"/>
          <w:kern w:val="0"/>
          <w14:textFill>
            <w14:solidFill>
              <w14:schemeClr w14:val="tx1"/>
            </w14:solidFill>
          </w14:textFill>
        </w:rPr>
        <w:fldChar w:fldCharType="begin"/>
      </w:r>
      <w:r>
        <w:rPr>
          <w:rFonts w:ascii="仿宋_GB2312" w:eastAsia="仿宋_GB2312"/>
          <w:b/>
          <w:bCs w:val="0"/>
          <w:kern w:val="0"/>
        </w:rPr>
        <w:instrText xml:space="preserve"> HYPERLINK \l _Toc1483 </w:instrText>
      </w:r>
      <w:r>
        <w:rPr>
          <w:rFonts w:ascii="仿宋_GB2312" w:eastAsia="仿宋_GB2312"/>
          <w:b/>
          <w:bCs w:val="0"/>
          <w:kern w:val="0"/>
        </w:rPr>
        <w:fldChar w:fldCharType="separate"/>
      </w:r>
      <w:r>
        <w:rPr>
          <w:rFonts w:hint="eastAsia" w:ascii="宋体" w:hAnsi="宋体" w:eastAsia="宋体" w:cs="Times New Roman"/>
          <w:b/>
          <w:bCs w:val="0"/>
          <w:szCs w:val="36"/>
        </w:rPr>
        <w:t>第二章  供应商须知</w:t>
      </w:r>
      <w:r>
        <w:rPr>
          <w:b/>
          <w:bCs w:val="0"/>
        </w:rPr>
        <w:tab/>
      </w:r>
      <w:r>
        <w:rPr>
          <w:b/>
          <w:bCs w:val="0"/>
        </w:rPr>
        <w:fldChar w:fldCharType="begin"/>
      </w:r>
      <w:r>
        <w:rPr>
          <w:b/>
          <w:bCs w:val="0"/>
        </w:rPr>
        <w:instrText xml:space="preserve"> PAGEREF _Toc1483 \h </w:instrText>
      </w:r>
      <w:r>
        <w:rPr>
          <w:b/>
          <w:bCs w:val="0"/>
        </w:rPr>
        <w:fldChar w:fldCharType="separate"/>
      </w:r>
      <w:r>
        <w:rPr>
          <w:b/>
          <w:bCs w:val="0"/>
        </w:rPr>
        <w:t>9</w:t>
      </w:r>
      <w:r>
        <w:rPr>
          <w:b/>
          <w:bCs w:val="0"/>
        </w:rPr>
        <w:fldChar w:fldCharType="end"/>
      </w:r>
      <w:r>
        <w:rPr>
          <w:rFonts w:ascii="仿宋_GB2312" w:eastAsia="仿宋_GB2312"/>
          <w:b/>
          <w:bCs w:val="0"/>
          <w:color w:val="000000" w:themeColor="text1"/>
          <w:kern w:val="0"/>
          <w14:textFill>
            <w14:solidFill>
              <w14:schemeClr w14:val="tx1"/>
            </w14:solidFill>
          </w14:textFill>
        </w:rPr>
        <w:fldChar w:fldCharType="end"/>
      </w:r>
    </w:p>
    <w:p w14:paraId="42FFAD42">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b/>
          <w:bCs w:val="0"/>
          <w:kern w:val="0"/>
          <w:szCs w:val="36"/>
        </w:rPr>
      </w:pPr>
      <w:r>
        <w:rPr>
          <w:rFonts w:hint="eastAsia" w:ascii="宋体" w:hAnsi="宋体" w:eastAsia="宋体" w:cs="宋体"/>
          <w:b/>
          <w:bCs w:val="0"/>
          <w:kern w:val="0"/>
          <w:szCs w:val="36"/>
        </w:rPr>
        <w:fldChar w:fldCharType="begin"/>
      </w:r>
      <w:r>
        <w:rPr>
          <w:rFonts w:hint="eastAsia" w:ascii="宋体" w:hAnsi="宋体" w:eastAsia="宋体" w:cs="宋体"/>
          <w:b/>
          <w:bCs w:val="0"/>
          <w:kern w:val="0"/>
          <w:szCs w:val="36"/>
        </w:rPr>
        <w:instrText xml:space="preserve"> HYPERLINK \l _Toc22000 </w:instrText>
      </w:r>
      <w:r>
        <w:rPr>
          <w:rFonts w:hint="eastAsia" w:ascii="宋体" w:hAnsi="宋体" w:eastAsia="宋体" w:cs="宋体"/>
          <w:b/>
          <w:bCs w:val="0"/>
          <w:kern w:val="0"/>
          <w:szCs w:val="36"/>
        </w:rPr>
        <w:fldChar w:fldCharType="separate"/>
      </w:r>
      <w:r>
        <w:rPr>
          <w:rFonts w:hint="eastAsia" w:ascii="宋体" w:hAnsi="宋体" w:eastAsia="宋体" w:cs="宋体"/>
          <w:b/>
          <w:bCs w:val="0"/>
          <w:kern w:val="0"/>
          <w:szCs w:val="36"/>
        </w:rPr>
        <w:t>第三章</w:t>
      </w:r>
      <w:r>
        <w:rPr>
          <w:rFonts w:hint="eastAsia" w:ascii="宋体" w:hAnsi="宋体" w:eastAsia="宋体" w:cs="宋体"/>
          <w:b/>
          <w:bCs w:val="0"/>
          <w:kern w:val="0"/>
          <w:szCs w:val="36"/>
          <w:lang w:val="en-US" w:eastAsia="zh-CN"/>
        </w:rPr>
        <w:t xml:space="preserve">  </w:t>
      </w:r>
      <w:r>
        <w:rPr>
          <w:rFonts w:hint="eastAsia" w:ascii="宋体" w:hAnsi="宋体" w:eastAsia="宋体" w:cs="宋体"/>
          <w:b/>
          <w:bCs w:val="0"/>
          <w:kern w:val="0"/>
          <w:szCs w:val="36"/>
        </w:rPr>
        <w:t>技术要求以及相关内容</w:t>
      </w:r>
      <w:r>
        <w:rPr>
          <w:rFonts w:hint="eastAsia" w:ascii="宋体" w:hAnsi="宋体" w:eastAsia="宋体" w:cs="宋体"/>
          <w:b/>
          <w:bCs w:val="0"/>
          <w:kern w:val="0"/>
          <w:szCs w:val="36"/>
        </w:rPr>
        <w:tab/>
      </w:r>
      <w:r>
        <w:rPr>
          <w:rFonts w:hint="eastAsia" w:ascii="宋体" w:hAnsi="宋体" w:eastAsia="宋体" w:cs="宋体"/>
          <w:b/>
          <w:bCs w:val="0"/>
          <w:kern w:val="0"/>
          <w:szCs w:val="36"/>
        </w:rPr>
        <w:fldChar w:fldCharType="begin"/>
      </w:r>
      <w:r>
        <w:rPr>
          <w:rFonts w:hint="eastAsia" w:ascii="宋体" w:hAnsi="宋体" w:eastAsia="宋体" w:cs="宋体"/>
          <w:b/>
          <w:bCs w:val="0"/>
          <w:kern w:val="0"/>
          <w:szCs w:val="36"/>
        </w:rPr>
        <w:instrText xml:space="preserve"> PAGEREF _Toc22000 \h </w:instrText>
      </w:r>
      <w:r>
        <w:rPr>
          <w:rFonts w:hint="eastAsia" w:ascii="宋体" w:hAnsi="宋体" w:eastAsia="宋体" w:cs="宋体"/>
          <w:b/>
          <w:bCs w:val="0"/>
          <w:kern w:val="0"/>
          <w:szCs w:val="36"/>
        </w:rPr>
        <w:fldChar w:fldCharType="separate"/>
      </w:r>
      <w:r>
        <w:rPr>
          <w:rFonts w:hint="eastAsia" w:ascii="宋体" w:hAnsi="宋体" w:eastAsia="宋体" w:cs="宋体"/>
          <w:b/>
          <w:bCs w:val="0"/>
          <w:kern w:val="0"/>
          <w:szCs w:val="36"/>
        </w:rPr>
        <w:t>27</w:t>
      </w:r>
      <w:r>
        <w:rPr>
          <w:rFonts w:hint="eastAsia" w:ascii="宋体" w:hAnsi="宋体" w:eastAsia="宋体" w:cs="宋体"/>
          <w:b/>
          <w:bCs w:val="0"/>
          <w:kern w:val="0"/>
          <w:szCs w:val="36"/>
        </w:rPr>
        <w:fldChar w:fldCharType="end"/>
      </w:r>
      <w:r>
        <w:rPr>
          <w:rFonts w:hint="eastAsia" w:ascii="宋体" w:hAnsi="宋体" w:eastAsia="宋体" w:cs="宋体"/>
          <w:b/>
          <w:bCs w:val="0"/>
          <w:kern w:val="0"/>
          <w:szCs w:val="36"/>
        </w:rPr>
        <w:fldChar w:fldCharType="end"/>
      </w:r>
    </w:p>
    <w:p w14:paraId="59EAE3C0">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b/>
          <w:bCs w:val="0"/>
          <w:kern w:val="0"/>
          <w:szCs w:val="36"/>
        </w:rPr>
      </w:pPr>
      <w:r>
        <w:rPr>
          <w:rFonts w:hint="eastAsia" w:ascii="宋体" w:hAnsi="宋体" w:eastAsia="宋体" w:cs="宋体"/>
          <w:b/>
          <w:bCs w:val="0"/>
          <w:kern w:val="0"/>
          <w:szCs w:val="36"/>
        </w:rPr>
        <w:fldChar w:fldCharType="begin"/>
      </w:r>
      <w:r>
        <w:rPr>
          <w:rFonts w:hint="eastAsia" w:ascii="宋体" w:hAnsi="宋体" w:eastAsia="宋体" w:cs="宋体"/>
          <w:b/>
          <w:bCs w:val="0"/>
          <w:kern w:val="0"/>
          <w:szCs w:val="36"/>
        </w:rPr>
        <w:instrText xml:space="preserve"> HYPERLINK \l _Toc4135 </w:instrText>
      </w:r>
      <w:r>
        <w:rPr>
          <w:rFonts w:hint="eastAsia" w:ascii="宋体" w:hAnsi="宋体" w:eastAsia="宋体" w:cs="宋体"/>
          <w:b/>
          <w:bCs w:val="0"/>
          <w:kern w:val="0"/>
          <w:szCs w:val="36"/>
        </w:rPr>
        <w:fldChar w:fldCharType="separate"/>
      </w:r>
      <w:r>
        <w:rPr>
          <w:rFonts w:hint="eastAsia" w:ascii="宋体" w:hAnsi="宋体" w:eastAsia="宋体" w:cs="宋体"/>
          <w:b/>
          <w:bCs w:val="0"/>
          <w:kern w:val="0"/>
          <w:szCs w:val="36"/>
        </w:rPr>
        <w:t>第四章  合同条款及合同文件格式</w:t>
      </w:r>
      <w:r>
        <w:rPr>
          <w:rFonts w:hint="eastAsia" w:ascii="宋体" w:hAnsi="宋体" w:eastAsia="宋体" w:cs="宋体"/>
          <w:b/>
          <w:bCs w:val="0"/>
          <w:kern w:val="0"/>
          <w:szCs w:val="36"/>
        </w:rPr>
        <w:tab/>
      </w:r>
      <w:r>
        <w:rPr>
          <w:rFonts w:hint="eastAsia" w:ascii="宋体" w:hAnsi="宋体" w:eastAsia="宋体" w:cs="宋体"/>
          <w:b/>
          <w:bCs w:val="0"/>
          <w:kern w:val="0"/>
          <w:szCs w:val="36"/>
        </w:rPr>
        <w:fldChar w:fldCharType="begin"/>
      </w:r>
      <w:r>
        <w:rPr>
          <w:rFonts w:hint="eastAsia" w:ascii="宋体" w:hAnsi="宋体" w:eastAsia="宋体" w:cs="宋体"/>
          <w:b/>
          <w:bCs w:val="0"/>
          <w:kern w:val="0"/>
          <w:szCs w:val="36"/>
        </w:rPr>
        <w:instrText xml:space="preserve"> PAGEREF _Toc4135 \h </w:instrText>
      </w:r>
      <w:r>
        <w:rPr>
          <w:rFonts w:hint="eastAsia" w:ascii="宋体" w:hAnsi="宋体" w:eastAsia="宋体" w:cs="宋体"/>
          <w:b/>
          <w:bCs w:val="0"/>
          <w:kern w:val="0"/>
          <w:szCs w:val="36"/>
        </w:rPr>
        <w:fldChar w:fldCharType="separate"/>
      </w:r>
      <w:r>
        <w:rPr>
          <w:rFonts w:hint="eastAsia" w:ascii="宋体" w:hAnsi="宋体" w:eastAsia="宋体" w:cs="宋体"/>
          <w:b/>
          <w:bCs w:val="0"/>
          <w:kern w:val="0"/>
          <w:szCs w:val="36"/>
        </w:rPr>
        <w:t>31</w:t>
      </w:r>
      <w:r>
        <w:rPr>
          <w:rFonts w:hint="eastAsia" w:ascii="宋体" w:hAnsi="宋体" w:eastAsia="宋体" w:cs="宋体"/>
          <w:b/>
          <w:bCs w:val="0"/>
          <w:kern w:val="0"/>
          <w:szCs w:val="36"/>
        </w:rPr>
        <w:fldChar w:fldCharType="end"/>
      </w:r>
      <w:r>
        <w:rPr>
          <w:rFonts w:hint="eastAsia" w:ascii="宋体" w:hAnsi="宋体" w:eastAsia="宋体" w:cs="宋体"/>
          <w:b/>
          <w:bCs w:val="0"/>
          <w:kern w:val="0"/>
          <w:szCs w:val="36"/>
        </w:rPr>
        <w:fldChar w:fldCharType="end"/>
      </w:r>
    </w:p>
    <w:p w14:paraId="56BC6152">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b/>
          <w:bCs w:val="0"/>
          <w:kern w:val="0"/>
          <w:szCs w:val="36"/>
        </w:rPr>
      </w:pPr>
      <w:r>
        <w:rPr>
          <w:rFonts w:hint="eastAsia" w:ascii="宋体" w:hAnsi="宋体" w:eastAsia="宋体" w:cs="宋体"/>
          <w:b/>
          <w:bCs w:val="0"/>
          <w:kern w:val="0"/>
          <w:szCs w:val="36"/>
        </w:rPr>
        <w:fldChar w:fldCharType="begin"/>
      </w:r>
      <w:r>
        <w:rPr>
          <w:rFonts w:hint="eastAsia" w:ascii="宋体" w:hAnsi="宋体" w:eastAsia="宋体" w:cs="宋体"/>
          <w:b/>
          <w:bCs w:val="0"/>
          <w:kern w:val="0"/>
          <w:szCs w:val="36"/>
        </w:rPr>
        <w:instrText xml:space="preserve"> HYPERLINK \l _Toc13563 </w:instrText>
      </w:r>
      <w:r>
        <w:rPr>
          <w:rFonts w:hint="eastAsia" w:ascii="宋体" w:hAnsi="宋体" w:eastAsia="宋体" w:cs="宋体"/>
          <w:b/>
          <w:bCs w:val="0"/>
          <w:kern w:val="0"/>
          <w:szCs w:val="36"/>
        </w:rPr>
        <w:fldChar w:fldCharType="separate"/>
      </w:r>
      <w:r>
        <w:rPr>
          <w:rFonts w:hint="eastAsia" w:ascii="宋体" w:hAnsi="宋体" w:eastAsia="宋体" w:cs="宋体"/>
          <w:b/>
          <w:bCs w:val="0"/>
          <w:kern w:val="0"/>
          <w:szCs w:val="36"/>
        </w:rPr>
        <w:t>第五章  评审标准</w:t>
      </w:r>
      <w:r>
        <w:rPr>
          <w:rFonts w:hint="eastAsia" w:ascii="宋体" w:hAnsi="宋体" w:eastAsia="宋体" w:cs="宋体"/>
          <w:b/>
          <w:bCs w:val="0"/>
          <w:kern w:val="0"/>
          <w:szCs w:val="36"/>
        </w:rPr>
        <w:tab/>
      </w:r>
      <w:r>
        <w:rPr>
          <w:rFonts w:hint="eastAsia" w:ascii="宋体" w:hAnsi="宋体" w:eastAsia="宋体" w:cs="宋体"/>
          <w:b/>
          <w:bCs w:val="0"/>
          <w:kern w:val="0"/>
          <w:szCs w:val="36"/>
        </w:rPr>
        <w:fldChar w:fldCharType="begin"/>
      </w:r>
      <w:r>
        <w:rPr>
          <w:rFonts w:hint="eastAsia" w:ascii="宋体" w:hAnsi="宋体" w:eastAsia="宋体" w:cs="宋体"/>
          <w:b/>
          <w:bCs w:val="0"/>
          <w:kern w:val="0"/>
          <w:szCs w:val="36"/>
        </w:rPr>
        <w:instrText xml:space="preserve"> PAGEREF _Toc13563 \h </w:instrText>
      </w:r>
      <w:r>
        <w:rPr>
          <w:rFonts w:hint="eastAsia" w:ascii="宋体" w:hAnsi="宋体" w:eastAsia="宋体" w:cs="宋体"/>
          <w:b/>
          <w:bCs w:val="0"/>
          <w:kern w:val="0"/>
          <w:szCs w:val="36"/>
        </w:rPr>
        <w:fldChar w:fldCharType="separate"/>
      </w:r>
      <w:r>
        <w:rPr>
          <w:rFonts w:hint="eastAsia" w:ascii="宋体" w:hAnsi="宋体" w:eastAsia="宋体" w:cs="宋体"/>
          <w:b/>
          <w:bCs w:val="0"/>
          <w:kern w:val="0"/>
          <w:szCs w:val="36"/>
        </w:rPr>
        <w:t>35</w:t>
      </w:r>
      <w:r>
        <w:rPr>
          <w:rFonts w:hint="eastAsia" w:ascii="宋体" w:hAnsi="宋体" w:eastAsia="宋体" w:cs="宋体"/>
          <w:b/>
          <w:bCs w:val="0"/>
          <w:kern w:val="0"/>
          <w:szCs w:val="36"/>
        </w:rPr>
        <w:fldChar w:fldCharType="end"/>
      </w:r>
      <w:r>
        <w:rPr>
          <w:rFonts w:hint="eastAsia" w:ascii="宋体" w:hAnsi="宋体" w:eastAsia="宋体" w:cs="宋体"/>
          <w:b/>
          <w:bCs w:val="0"/>
          <w:kern w:val="0"/>
          <w:szCs w:val="36"/>
        </w:rPr>
        <w:fldChar w:fldCharType="end"/>
      </w:r>
    </w:p>
    <w:p w14:paraId="77B3B437">
      <w:pPr>
        <w:pStyle w:val="8"/>
        <w:keepNext w:val="0"/>
        <w:keepLines w:val="0"/>
        <w:pageBreakBefore w:val="0"/>
        <w:widowControl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b/>
          <w:bCs w:val="0"/>
          <w:kern w:val="0"/>
          <w:szCs w:val="36"/>
        </w:rPr>
      </w:pPr>
      <w:r>
        <w:rPr>
          <w:rFonts w:hint="eastAsia" w:ascii="宋体" w:hAnsi="宋体" w:eastAsia="宋体" w:cs="宋体"/>
          <w:b/>
          <w:bCs w:val="0"/>
          <w:kern w:val="0"/>
          <w:szCs w:val="36"/>
        </w:rPr>
        <w:fldChar w:fldCharType="begin"/>
      </w:r>
      <w:r>
        <w:rPr>
          <w:rFonts w:hint="eastAsia" w:ascii="宋体" w:hAnsi="宋体" w:eastAsia="宋体" w:cs="宋体"/>
          <w:b/>
          <w:bCs w:val="0"/>
          <w:kern w:val="0"/>
          <w:szCs w:val="36"/>
        </w:rPr>
        <w:instrText xml:space="preserve"> HYPERLINK \l _Toc1283 </w:instrText>
      </w:r>
      <w:r>
        <w:rPr>
          <w:rFonts w:hint="eastAsia" w:ascii="宋体" w:hAnsi="宋体" w:eastAsia="宋体" w:cs="宋体"/>
          <w:b/>
          <w:bCs w:val="0"/>
          <w:kern w:val="0"/>
          <w:szCs w:val="36"/>
        </w:rPr>
        <w:fldChar w:fldCharType="separate"/>
      </w:r>
      <w:r>
        <w:rPr>
          <w:rFonts w:hint="eastAsia" w:ascii="宋体" w:hAnsi="宋体" w:eastAsia="宋体" w:cs="宋体"/>
          <w:b/>
          <w:bCs w:val="0"/>
          <w:kern w:val="0"/>
          <w:szCs w:val="36"/>
        </w:rPr>
        <w:t>第六章</w:t>
      </w:r>
      <w:r>
        <w:rPr>
          <w:rFonts w:hint="eastAsia" w:ascii="宋体" w:hAnsi="宋体" w:eastAsia="宋体" w:cs="宋体"/>
          <w:b/>
          <w:bCs w:val="0"/>
          <w:kern w:val="0"/>
          <w:szCs w:val="36"/>
          <w:lang w:val="en-US" w:eastAsia="zh-CN"/>
        </w:rPr>
        <w:t xml:space="preserve">  </w:t>
      </w:r>
      <w:r>
        <w:rPr>
          <w:rFonts w:hint="eastAsia" w:ascii="宋体" w:hAnsi="宋体" w:eastAsia="宋体" w:cs="宋体"/>
          <w:b/>
          <w:bCs w:val="0"/>
          <w:kern w:val="0"/>
          <w:szCs w:val="36"/>
        </w:rPr>
        <w:t>磋商文件格式</w:t>
      </w:r>
      <w:r>
        <w:rPr>
          <w:rFonts w:hint="eastAsia" w:ascii="宋体" w:hAnsi="宋体" w:eastAsia="宋体" w:cs="宋体"/>
          <w:b/>
          <w:bCs w:val="0"/>
          <w:kern w:val="0"/>
          <w:szCs w:val="36"/>
        </w:rPr>
        <w:tab/>
      </w:r>
      <w:r>
        <w:rPr>
          <w:rFonts w:hint="eastAsia" w:ascii="宋体" w:hAnsi="宋体" w:eastAsia="宋体" w:cs="宋体"/>
          <w:b/>
          <w:bCs w:val="0"/>
          <w:kern w:val="0"/>
          <w:szCs w:val="36"/>
        </w:rPr>
        <w:fldChar w:fldCharType="begin"/>
      </w:r>
      <w:r>
        <w:rPr>
          <w:rFonts w:hint="eastAsia" w:ascii="宋体" w:hAnsi="宋体" w:eastAsia="宋体" w:cs="宋体"/>
          <w:b/>
          <w:bCs w:val="0"/>
          <w:kern w:val="0"/>
          <w:szCs w:val="36"/>
        </w:rPr>
        <w:instrText xml:space="preserve"> PAGEREF _Toc1283 \h </w:instrText>
      </w:r>
      <w:r>
        <w:rPr>
          <w:rFonts w:hint="eastAsia" w:ascii="宋体" w:hAnsi="宋体" w:eastAsia="宋体" w:cs="宋体"/>
          <w:b/>
          <w:bCs w:val="0"/>
          <w:kern w:val="0"/>
          <w:szCs w:val="36"/>
        </w:rPr>
        <w:fldChar w:fldCharType="separate"/>
      </w:r>
      <w:r>
        <w:rPr>
          <w:rFonts w:hint="eastAsia" w:ascii="宋体" w:hAnsi="宋体" w:eastAsia="宋体" w:cs="宋体"/>
          <w:b/>
          <w:bCs w:val="0"/>
          <w:kern w:val="0"/>
          <w:szCs w:val="36"/>
        </w:rPr>
        <w:t>45</w:t>
      </w:r>
      <w:r>
        <w:rPr>
          <w:rFonts w:hint="eastAsia" w:ascii="宋体" w:hAnsi="宋体" w:eastAsia="宋体" w:cs="宋体"/>
          <w:b/>
          <w:bCs w:val="0"/>
          <w:kern w:val="0"/>
          <w:szCs w:val="36"/>
        </w:rPr>
        <w:fldChar w:fldCharType="end"/>
      </w:r>
      <w:r>
        <w:rPr>
          <w:rFonts w:hint="eastAsia" w:ascii="宋体" w:hAnsi="宋体" w:eastAsia="宋体" w:cs="宋体"/>
          <w:b/>
          <w:bCs w:val="0"/>
          <w:kern w:val="0"/>
          <w:szCs w:val="36"/>
        </w:rPr>
        <w:fldChar w:fldCharType="end"/>
      </w:r>
    </w:p>
    <w:p w14:paraId="17247C22">
      <w:pPr>
        <w:keepNext w:val="0"/>
        <w:keepLines w:val="0"/>
        <w:pageBreakBefore w:val="0"/>
        <w:widowControl w:val="0"/>
        <w:kinsoku/>
        <w:wordWrap/>
        <w:overflowPunct/>
        <w:topLinePunct w:val="0"/>
        <w:autoSpaceDE/>
        <w:autoSpaceDN/>
        <w:bidi w:val="0"/>
        <w:adjustRightInd/>
        <w:snapToGrid/>
        <w:spacing w:line="480" w:lineRule="auto"/>
        <w:textAlignment w:val="auto"/>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eastAsia="仿宋_GB2312"/>
          <w:b/>
          <w:bCs w:val="0"/>
          <w:color w:val="000000" w:themeColor="text1"/>
          <w:kern w:val="0"/>
          <w14:textFill>
            <w14:solidFill>
              <w14:schemeClr w14:val="tx1"/>
            </w14:solidFill>
          </w14:textFill>
        </w:rPr>
        <w:fldChar w:fldCharType="end"/>
      </w:r>
    </w:p>
    <w:p w14:paraId="186A6F9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BD87ECF">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38489EB">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51A33C7">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046FA196">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DC7A08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79E6B397">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279E9EC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15A6528">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31C60C64">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4D2E4E3A">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r>
        <w:rPr>
          <w:rFonts w:ascii="仿宋_GB2312" w:hAnsi="宋体" w:eastAsia="仿宋_GB2312" w:cs="Times New Roman"/>
          <w:color w:val="000000" w:themeColor="text1"/>
          <w:kern w:val="0"/>
          <w:sz w:val="28"/>
          <w:szCs w:val="24"/>
          <w14:textFill>
            <w14:solidFill>
              <w14:schemeClr w14:val="tx1"/>
            </w14:solidFill>
          </w14:textFill>
        </w:rPr>
        <w:br w:type="textWrapping"/>
      </w:r>
    </w:p>
    <w:p w14:paraId="29040240">
      <w:pPr>
        <w:pStyle w:val="2"/>
      </w:pPr>
    </w:p>
    <w:p w14:paraId="20603B1D">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6323623C">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1FF9A21E">
      <w:pPr>
        <w:spacing w:line="520" w:lineRule="exact"/>
        <w:rPr>
          <w:rFonts w:ascii="仿宋_GB2312" w:hAnsi="宋体" w:eastAsia="仿宋_GB2312" w:cs="Times New Roman"/>
          <w:color w:val="000000" w:themeColor="text1"/>
          <w:kern w:val="0"/>
          <w:sz w:val="28"/>
          <w:szCs w:val="24"/>
          <w14:textFill>
            <w14:solidFill>
              <w14:schemeClr w14:val="tx1"/>
            </w14:solidFill>
          </w14:textFill>
        </w:rPr>
      </w:pPr>
    </w:p>
    <w:p w14:paraId="52DB6030">
      <w:pPr>
        <w:rPr>
          <w:rFonts w:ascii="宋体" w:hAnsi="宋体" w:eastAsia="宋体" w:cs="宋体"/>
          <w:b/>
          <w:bCs/>
          <w:color w:val="000000" w:themeColor="text1"/>
          <w:kern w:val="0"/>
          <w:sz w:val="36"/>
          <w:szCs w:val="36"/>
          <w14:textFill>
            <w14:solidFill>
              <w14:schemeClr w14:val="tx1"/>
            </w14:solidFill>
          </w14:textFill>
        </w:rPr>
      </w:pPr>
      <w:bookmarkStart w:id="0" w:name="_Toc109675032"/>
      <w:bookmarkStart w:id="1" w:name="_Toc6973"/>
      <w:r>
        <w:rPr>
          <w:rFonts w:hint="eastAsia" w:ascii="宋体" w:hAnsi="宋体" w:eastAsia="宋体" w:cs="宋体"/>
          <w:b/>
          <w:bCs/>
          <w:color w:val="000000" w:themeColor="text1"/>
          <w:kern w:val="0"/>
          <w:sz w:val="36"/>
          <w:szCs w:val="36"/>
          <w14:textFill>
            <w14:solidFill>
              <w14:schemeClr w14:val="tx1"/>
            </w14:solidFill>
          </w14:textFill>
        </w:rPr>
        <w:br w:type="page"/>
      </w:r>
    </w:p>
    <w:p w14:paraId="26DBB350">
      <w:pPr>
        <w:widowControl/>
        <w:numPr>
          <w:ilvl w:val="0"/>
          <w:numId w:val="1"/>
        </w:numPr>
        <w:shd w:val="clear" w:color="auto" w:fill="FFFFFF"/>
        <w:spacing w:line="420" w:lineRule="atLeast"/>
        <w:jc w:val="center"/>
        <w:outlineLvl w:val="0"/>
        <w:rPr>
          <w:rFonts w:ascii="宋体" w:hAnsi="宋体" w:eastAsia="宋体" w:cs="宋体"/>
          <w:b/>
          <w:bCs/>
          <w:color w:val="000000" w:themeColor="text1"/>
          <w:kern w:val="0"/>
          <w:sz w:val="36"/>
          <w:szCs w:val="36"/>
          <w14:textFill>
            <w14:solidFill>
              <w14:schemeClr w14:val="tx1"/>
            </w14:solidFill>
          </w14:textFill>
        </w:rPr>
      </w:pPr>
      <w:r>
        <w:rPr>
          <w:rFonts w:hint="eastAsia" w:ascii="宋体" w:hAnsi="宋体" w:eastAsia="宋体" w:cs="宋体"/>
          <w:b/>
          <w:bCs/>
          <w:color w:val="000000" w:themeColor="text1"/>
          <w:kern w:val="0"/>
          <w:sz w:val="36"/>
          <w:szCs w:val="36"/>
          <w14:textFill>
            <w14:solidFill>
              <w14:schemeClr w14:val="tx1"/>
            </w14:solidFill>
          </w14:textFill>
        </w:rPr>
        <w:t>竞争性磋商公告</w:t>
      </w:r>
      <w:bookmarkEnd w:id="0"/>
      <w:bookmarkEnd w:id="1"/>
    </w:p>
    <w:p w14:paraId="1C800CEC">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项目概况</w:t>
      </w:r>
    </w:p>
    <w:p w14:paraId="4F33B15B">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2025年中国桨板超级联赛暨第三届“陕州·黄河杯”桨板挑战赛采购项目</w:t>
      </w:r>
      <w:r>
        <w:rPr>
          <w:rFonts w:hint="eastAsia" w:ascii="宋体" w:hAnsi="宋体" w:eastAsia="宋体" w:cs="宋体"/>
          <w:color w:val="000000" w:themeColor="text1"/>
          <w:sz w:val="28"/>
          <w:szCs w:val="28"/>
          <w14:textFill>
            <w14:solidFill>
              <w14:schemeClr w14:val="tx1"/>
            </w14:solidFill>
          </w14:textFill>
        </w:rPr>
        <w:t>的潜在投标人应在三门峡市公共资源交易中心网获取磋商文件，并于202</w:t>
      </w:r>
      <w:r>
        <w:rPr>
          <w:rFonts w:hint="eastAsia" w:ascii="宋体" w:hAnsi="宋体" w:eastAsia="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14:textFill>
            <w14:solidFill>
              <w14:schemeClr w14:val="tx1"/>
            </w14:solidFill>
          </w14:textFill>
        </w:rPr>
        <w:t>年</w:t>
      </w:r>
      <w:r>
        <w:rPr>
          <w:rFonts w:hint="eastAsia" w:ascii="宋体" w:hAnsi="宋体" w:eastAsia="宋体" w:cs="宋体"/>
          <w:color w:val="000000" w:themeColor="text1"/>
          <w:sz w:val="28"/>
          <w:szCs w:val="28"/>
          <w:lang w:val="en-US" w:eastAsia="zh-CN"/>
          <w14:textFill>
            <w14:solidFill>
              <w14:schemeClr w14:val="tx1"/>
            </w14:solidFill>
          </w14:textFill>
        </w:rPr>
        <w:t>4</w:t>
      </w:r>
      <w:r>
        <w:rPr>
          <w:rFonts w:hint="eastAsia" w:ascii="宋体" w:hAnsi="宋体" w:eastAsia="宋体" w:cs="宋体"/>
          <w:color w:val="000000" w:themeColor="text1"/>
          <w:sz w:val="28"/>
          <w:szCs w:val="28"/>
          <w14:textFill>
            <w14:solidFill>
              <w14:schemeClr w14:val="tx1"/>
            </w14:solidFill>
          </w14:textFill>
        </w:rPr>
        <w:t>月</w:t>
      </w:r>
      <w:r>
        <w:rPr>
          <w:rFonts w:hint="eastAsia" w:ascii="宋体" w:hAnsi="宋体" w:eastAsia="宋体" w:cs="宋体"/>
          <w:color w:val="000000" w:themeColor="text1"/>
          <w:sz w:val="28"/>
          <w:szCs w:val="28"/>
          <w:lang w:val="en-US" w:eastAsia="zh-CN"/>
          <w14:textFill>
            <w14:solidFill>
              <w14:schemeClr w14:val="tx1"/>
            </w14:solidFill>
          </w14:textFill>
        </w:rPr>
        <w:t>3</w:t>
      </w:r>
      <w:r>
        <w:rPr>
          <w:rFonts w:hint="eastAsia" w:ascii="宋体" w:hAnsi="宋体" w:eastAsia="宋体" w:cs="宋体"/>
          <w:color w:val="000000" w:themeColor="text1"/>
          <w:sz w:val="28"/>
          <w:szCs w:val="28"/>
          <w14:textFill>
            <w14:solidFill>
              <w14:schemeClr w14:val="tx1"/>
            </w14:solidFill>
          </w14:textFill>
        </w:rPr>
        <w:t>日0</w:t>
      </w:r>
      <w:r>
        <w:rPr>
          <w:rFonts w:hint="eastAsia" w:ascii="宋体" w:hAnsi="宋体" w:eastAsia="宋体" w:cs="宋体"/>
          <w:color w:val="000000" w:themeColor="text1"/>
          <w:sz w:val="28"/>
          <w:szCs w:val="28"/>
          <w:lang w:val="en-US" w:eastAsia="zh-CN"/>
          <w14:textFill>
            <w14:solidFill>
              <w14:schemeClr w14:val="tx1"/>
            </w14:solidFill>
          </w14:textFill>
        </w:rPr>
        <w:t>8</w:t>
      </w:r>
      <w:r>
        <w:rPr>
          <w:rFonts w:hint="eastAsia" w:ascii="宋体" w:hAnsi="宋体" w:eastAsia="宋体" w:cs="宋体"/>
          <w:color w:val="000000" w:themeColor="text1"/>
          <w:sz w:val="28"/>
          <w:szCs w:val="28"/>
          <w14:textFill>
            <w14:solidFill>
              <w14:schemeClr w14:val="tx1"/>
            </w14:solidFill>
          </w14:textFill>
        </w:rPr>
        <w:t>时30分（北京时间）前递交响应文件。</w:t>
      </w:r>
    </w:p>
    <w:p w14:paraId="41F5E5CB">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一</w:t>
      </w:r>
      <w:r>
        <w:rPr>
          <w:rFonts w:ascii="宋体" w:hAnsi="宋体" w:eastAsia="宋体" w:cs="Times New Roman"/>
          <w:color w:val="000000" w:themeColor="text1"/>
          <w:sz w:val="28"/>
          <w:szCs w:val="28"/>
          <w14:textFill>
            <w14:solidFill>
              <w14:schemeClr w14:val="tx1"/>
            </w14:solidFill>
          </w14:textFill>
        </w:rPr>
        <w:t>、项目基本情况</w:t>
      </w:r>
    </w:p>
    <w:p w14:paraId="1D68EFFE">
      <w:pPr>
        <w:spacing w:line="600" w:lineRule="exact"/>
        <w:ind w:firstLine="560" w:firstLineChars="200"/>
        <w:rPr>
          <w:rFonts w:hint="eastAsia" w:ascii="宋体" w:hAnsi="宋体" w:eastAsia="宋体" w:cs="Times New Roman"/>
          <w:sz w:val="28"/>
          <w:szCs w:val="28"/>
          <w:lang w:val="en-US" w:eastAsia="zh-CN"/>
        </w:rPr>
      </w:pPr>
      <w:r>
        <w:rPr>
          <w:rFonts w:hint="eastAsia" w:ascii="宋体" w:hAnsi="宋体" w:eastAsia="宋体" w:cs="Times New Roman"/>
          <w:sz w:val="28"/>
          <w:szCs w:val="28"/>
        </w:rPr>
        <w:t>1.项目</w:t>
      </w:r>
      <w:r>
        <w:rPr>
          <w:rFonts w:ascii="宋体" w:hAnsi="宋体" w:eastAsia="宋体" w:cs="Times New Roman"/>
          <w:sz w:val="28"/>
          <w:szCs w:val="28"/>
        </w:rPr>
        <w:t>编号</w:t>
      </w:r>
      <w:r>
        <w:rPr>
          <w:rFonts w:hint="eastAsia" w:ascii="宋体" w:hAnsi="宋体" w:eastAsia="宋体" w:cs="Times New Roman"/>
          <w:sz w:val="28"/>
          <w:szCs w:val="28"/>
        </w:rPr>
        <w:t xml:space="preserve">: </w:t>
      </w:r>
      <w:r>
        <w:rPr>
          <w:rFonts w:hint="eastAsia" w:ascii="宋体" w:hAnsi="宋体" w:eastAsia="宋体" w:cs="Times New Roman"/>
          <w:sz w:val="28"/>
          <w:szCs w:val="28"/>
          <w:lang w:eastAsia="zh-CN"/>
        </w:rPr>
        <w:t>陕州竞磋采购</w:t>
      </w:r>
      <w:r>
        <w:rPr>
          <w:rFonts w:hint="eastAsia" w:ascii="宋体" w:hAnsi="宋体" w:eastAsia="宋体" w:cs="Times New Roman"/>
          <w:sz w:val="28"/>
          <w:szCs w:val="28"/>
          <w:lang w:val="en-US" w:eastAsia="zh-CN"/>
        </w:rPr>
        <w:t>-2025-11、SZGZ【2025】019-ZC014</w:t>
      </w:r>
    </w:p>
    <w:p w14:paraId="1F1AA1B9">
      <w:pPr>
        <w:spacing w:line="600" w:lineRule="exact"/>
        <w:ind w:firstLine="560" w:firstLineChars="200"/>
        <w:rPr>
          <w:rFonts w:hint="eastAsia" w:ascii="宋体" w:hAnsi="宋体" w:eastAsia="宋体" w:cs="Times New Roman"/>
          <w:sz w:val="28"/>
          <w:szCs w:val="28"/>
          <w:lang w:eastAsia="zh-CN"/>
        </w:rPr>
      </w:pPr>
      <w:r>
        <w:rPr>
          <w:rFonts w:ascii="宋体" w:hAnsi="宋体" w:eastAsia="宋体" w:cs="Times New Roman"/>
          <w:sz w:val="28"/>
          <w:szCs w:val="28"/>
        </w:rPr>
        <w:t>2.项目名称：</w:t>
      </w:r>
      <w:r>
        <w:rPr>
          <w:rFonts w:hint="eastAsia" w:ascii="宋体" w:hAnsi="宋体" w:eastAsia="宋体" w:cs="Times New Roman"/>
          <w:sz w:val="28"/>
          <w:szCs w:val="28"/>
          <w:lang w:eastAsia="zh-CN"/>
        </w:rPr>
        <w:t>2025年中国桨板超级联赛暨第三届“陕州·黄河杯”桨板挑战赛采购项目</w:t>
      </w:r>
    </w:p>
    <w:p w14:paraId="4D0C259F">
      <w:pPr>
        <w:spacing w:line="600" w:lineRule="exact"/>
        <w:ind w:firstLine="560" w:firstLineChars="200"/>
        <w:rPr>
          <w:rFonts w:ascii="宋体" w:hAnsi="宋体" w:eastAsia="宋体" w:cs="Times New Roman"/>
          <w:sz w:val="28"/>
          <w:szCs w:val="28"/>
        </w:rPr>
      </w:pPr>
      <w:r>
        <w:rPr>
          <w:rFonts w:ascii="宋体" w:hAnsi="宋体" w:eastAsia="宋体" w:cs="Times New Roman"/>
          <w:sz w:val="28"/>
          <w:szCs w:val="28"/>
        </w:rPr>
        <w:t>3.采购方式：竞争性磋商</w:t>
      </w:r>
    </w:p>
    <w:p w14:paraId="3D3B859C">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4.</w:t>
      </w:r>
      <w:r>
        <w:rPr>
          <w:rFonts w:ascii="宋体" w:hAnsi="宋体" w:eastAsia="宋体" w:cs="Times New Roman"/>
          <w:color w:val="000000" w:themeColor="text1"/>
          <w:sz w:val="28"/>
          <w:szCs w:val="28"/>
          <w14:textFill>
            <w14:solidFill>
              <w14:schemeClr w14:val="tx1"/>
            </w14:solidFill>
          </w14:textFill>
        </w:rPr>
        <w:t>预算金额：</w:t>
      </w:r>
      <w:r>
        <w:rPr>
          <w:rFonts w:hint="eastAsia" w:ascii="宋体" w:hAnsi="宋体" w:eastAsia="宋体" w:cs="Times New Roman"/>
          <w:color w:val="000000" w:themeColor="text1"/>
          <w:sz w:val="28"/>
          <w:szCs w:val="28"/>
          <w:lang w:val="en-US" w:eastAsia="zh-CN"/>
          <w14:textFill>
            <w14:solidFill>
              <w14:schemeClr w14:val="tx1"/>
            </w14:solidFill>
          </w14:textFill>
        </w:rPr>
        <w:t>1918000</w:t>
      </w:r>
      <w:r>
        <w:rPr>
          <w:rFonts w:hint="eastAsia" w:ascii="宋体" w:hAnsi="宋体" w:eastAsia="宋体" w:cs="Times New Roman"/>
          <w:color w:val="000000" w:themeColor="text1"/>
          <w:sz w:val="28"/>
          <w:szCs w:val="28"/>
          <w14:textFill>
            <w14:solidFill>
              <w14:schemeClr w14:val="tx1"/>
            </w14:solidFill>
          </w14:textFill>
        </w:rPr>
        <w:t>.00元</w:t>
      </w:r>
    </w:p>
    <w:p w14:paraId="15B6E596">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最高限价：</w:t>
      </w:r>
      <w:r>
        <w:rPr>
          <w:rFonts w:hint="eastAsia" w:ascii="宋体" w:hAnsi="宋体" w:eastAsia="宋体" w:cs="Times New Roman"/>
          <w:color w:val="000000" w:themeColor="text1"/>
          <w:sz w:val="28"/>
          <w:szCs w:val="28"/>
          <w:lang w:val="en-US" w:eastAsia="zh-CN"/>
          <w14:textFill>
            <w14:solidFill>
              <w14:schemeClr w14:val="tx1"/>
            </w14:solidFill>
          </w14:textFill>
        </w:rPr>
        <w:t>1918000</w:t>
      </w:r>
      <w:r>
        <w:rPr>
          <w:rFonts w:hint="eastAsia" w:ascii="宋体" w:hAnsi="宋体" w:eastAsia="宋体" w:cs="Times New Roman"/>
          <w:color w:val="000000" w:themeColor="text1"/>
          <w:sz w:val="28"/>
          <w:szCs w:val="28"/>
          <w14:textFill>
            <w14:solidFill>
              <w14:schemeClr w14:val="tx1"/>
            </w14:solidFill>
          </w14:textFill>
        </w:rPr>
        <w:t>.00元</w:t>
      </w:r>
    </w:p>
    <w:tbl>
      <w:tblPr>
        <w:tblStyle w:val="12"/>
        <w:tblW w:w="10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295"/>
        <w:gridCol w:w="3372"/>
        <w:gridCol w:w="1626"/>
        <w:gridCol w:w="2127"/>
      </w:tblGrid>
      <w:tr w14:paraId="3E907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jc w:val="center"/>
        </w:trPr>
        <w:tc>
          <w:tcPr>
            <w:tcW w:w="778" w:type="dxa"/>
            <w:vAlign w:val="center"/>
          </w:tcPr>
          <w:p w14:paraId="43882FA3">
            <w:pPr>
              <w:widowControl/>
              <w:spacing w:line="360" w:lineRule="auto"/>
              <w:jc w:val="center"/>
              <w:rPr>
                <w:rFonts w:ascii="宋体" w:hAnsi="宋体" w:eastAsia="宋体" w:cs="宋体"/>
                <w:kern w:val="0"/>
                <w:sz w:val="28"/>
                <w:szCs w:val="28"/>
              </w:rPr>
            </w:pPr>
            <w:r>
              <w:rPr>
                <w:rFonts w:ascii="宋体" w:hAnsi="宋体" w:eastAsia="宋体" w:cs="宋体"/>
                <w:kern w:val="0"/>
                <w:sz w:val="28"/>
                <w:szCs w:val="28"/>
              </w:rPr>
              <w:t>序号</w:t>
            </w:r>
          </w:p>
        </w:tc>
        <w:tc>
          <w:tcPr>
            <w:tcW w:w="2295" w:type="dxa"/>
            <w:vAlign w:val="center"/>
          </w:tcPr>
          <w:p w14:paraId="147AEF9D">
            <w:pPr>
              <w:widowControl/>
              <w:spacing w:line="360" w:lineRule="auto"/>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包号</w:t>
            </w:r>
          </w:p>
        </w:tc>
        <w:tc>
          <w:tcPr>
            <w:tcW w:w="3372" w:type="dxa"/>
            <w:vAlign w:val="center"/>
          </w:tcPr>
          <w:p w14:paraId="7A1F98D3">
            <w:pPr>
              <w:widowControl/>
              <w:spacing w:line="360" w:lineRule="auto"/>
              <w:jc w:val="center"/>
              <w:rPr>
                <w:rFonts w:ascii="宋体" w:hAnsi="宋体" w:eastAsia="宋体" w:cs="宋体"/>
                <w:kern w:val="0"/>
                <w:sz w:val="28"/>
                <w:szCs w:val="28"/>
              </w:rPr>
            </w:pPr>
            <w:r>
              <w:rPr>
                <w:rFonts w:hint="eastAsia" w:ascii="宋体" w:hAnsi="宋体" w:eastAsia="宋体" w:cs="宋体"/>
                <w:kern w:val="0"/>
                <w:sz w:val="28"/>
                <w:szCs w:val="28"/>
              </w:rPr>
              <w:t>包名称</w:t>
            </w:r>
          </w:p>
        </w:tc>
        <w:tc>
          <w:tcPr>
            <w:tcW w:w="1626" w:type="dxa"/>
            <w:vAlign w:val="center"/>
          </w:tcPr>
          <w:p w14:paraId="64FB330A">
            <w:pPr>
              <w:widowControl/>
              <w:spacing w:line="360" w:lineRule="auto"/>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包预算（元）</w:t>
            </w:r>
          </w:p>
        </w:tc>
        <w:tc>
          <w:tcPr>
            <w:tcW w:w="2127" w:type="dxa"/>
            <w:vAlign w:val="center"/>
          </w:tcPr>
          <w:p w14:paraId="0E9C5914">
            <w:pPr>
              <w:widowControl/>
              <w:spacing w:line="360" w:lineRule="auto"/>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包最高限价（元）</w:t>
            </w:r>
          </w:p>
        </w:tc>
      </w:tr>
      <w:tr w14:paraId="56AE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778" w:type="dxa"/>
            <w:vAlign w:val="center"/>
          </w:tcPr>
          <w:p w14:paraId="156CBD8E">
            <w:pPr>
              <w:widowControl/>
              <w:spacing w:line="360" w:lineRule="auto"/>
              <w:ind w:firstLine="140" w:firstLineChars="50"/>
              <w:jc w:val="center"/>
              <w:rPr>
                <w:rFonts w:ascii="宋体" w:hAnsi="宋体" w:eastAsia="宋体" w:cs="宋体"/>
                <w:kern w:val="0"/>
                <w:sz w:val="28"/>
                <w:szCs w:val="28"/>
              </w:rPr>
            </w:pPr>
            <w:r>
              <w:rPr>
                <w:rFonts w:hint="eastAsia" w:ascii="宋体" w:hAnsi="宋体" w:eastAsia="宋体" w:cs="宋体"/>
                <w:kern w:val="0"/>
                <w:sz w:val="28"/>
                <w:szCs w:val="28"/>
              </w:rPr>
              <w:t>1</w:t>
            </w:r>
          </w:p>
        </w:tc>
        <w:tc>
          <w:tcPr>
            <w:tcW w:w="2295" w:type="dxa"/>
            <w:vAlign w:val="center"/>
          </w:tcPr>
          <w:p w14:paraId="2FC16705">
            <w:pPr>
              <w:widowControl/>
              <w:spacing w:line="360" w:lineRule="auto"/>
              <w:rPr>
                <w:rFonts w:hint="eastAsia" w:ascii="宋体" w:hAnsi="宋体" w:eastAsia="宋体" w:cs="宋体"/>
                <w:kern w:val="0"/>
                <w:sz w:val="28"/>
                <w:szCs w:val="28"/>
                <w:lang w:val="en-US" w:eastAsia="zh-CN"/>
              </w:rPr>
            </w:pPr>
            <w:r>
              <w:rPr>
                <w:rFonts w:hint="eastAsia" w:ascii="宋体" w:hAnsi="宋体" w:eastAsia="宋体" w:cs="Times New Roman"/>
                <w:sz w:val="28"/>
                <w:szCs w:val="28"/>
                <w:lang w:val="en-US" w:eastAsia="zh-CN"/>
              </w:rPr>
              <w:t>SZGZ【2025】019-ZC014</w:t>
            </w:r>
          </w:p>
        </w:tc>
        <w:tc>
          <w:tcPr>
            <w:tcW w:w="3372" w:type="dxa"/>
            <w:vAlign w:val="center"/>
          </w:tcPr>
          <w:p w14:paraId="293503FA">
            <w:pPr>
              <w:widowControl/>
              <w:spacing w:line="360" w:lineRule="auto"/>
              <w:jc w:val="center"/>
              <w:rPr>
                <w:rFonts w:hint="eastAsia" w:ascii="宋体" w:hAnsi="宋体" w:eastAsia="宋体" w:cs="宋体"/>
                <w:kern w:val="0"/>
                <w:sz w:val="28"/>
                <w:szCs w:val="28"/>
                <w:lang w:eastAsia="zh-CN"/>
              </w:rPr>
            </w:pPr>
            <w:r>
              <w:rPr>
                <w:rFonts w:hint="eastAsia" w:ascii="宋体" w:hAnsi="宋体" w:eastAsia="宋体" w:cs="宋体"/>
                <w:sz w:val="28"/>
                <w:szCs w:val="28"/>
                <w:lang w:eastAsia="zh-CN"/>
              </w:rPr>
              <w:t>2025年中国桨板超级联赛暨第三届“陕州·黄河杯”桨板挑战赛采购项目</w:t>
            </w:r>
          </w:p>
        </w:tc>
        <w:tc>
          <w:tcPr>
            <w:tcW w:w="1626" w:type="dxa"/>
            <w:vAlign w:val="center"/>
          </w:tcPr>
          <w:p w14:paraId="26471562">
            <w:pPr>
              <w:widowControl/>
              <w:spacing w:line="360" w:lineRule="auto"/>
              <w:jc w:val="center"/>
              <w:rPr>
                <w:rFonts w:ascii="宋体" w:hAnsi="宋体" w:eastAsia="宋体" w:cs="宋体"/>
                <w:kern w:val="0"/>
                <w:sz w:val="28"/>
                <w:szCs w:val="28"/>
              </w:rPr>
            </w:pPr>
            <w:r>
              <w:rPr>
                <w:rFonts w:hint="eastAsia" w:ascii="宋体" w:hAnsi="宋体" w:eastAsia="宋体" w:cs="Times New Roman"/>
                <w:color w:val="000000" w:themeColor="text1"/>
                <w:sz w:val="28"/>
                <w:szCs w:val="28"/>
                <w:lang w:val="en-US" w:eastAsia="zh-CN"/>
                <w14:textFill>
                  <w14:solidFill>
                    <w14:schemeClr w14:val="tx1"/>
                  </w14:solidFill>
                </w14:textFill>
              </w:rPr>
              <w:t>1918000</w:t>
            </w:r>
            <w:r>
              <w:rPr>
                <w:rFonts w:hint="eastAsia" w:ascii="宋体" w:hAnsi="宋体" w:eastAsia="宋体" w:cs="Times New Roman"/>
                <w:color w:val="000000" w:themeColor="text1"/>
                <w:sz w:val="28"/>
                <w:szCs w:val="28"/>
                <w14:textFill>
                  <w14:solidFill>
                    <w14:schemeClr w14:val="tx1"/>
                  </w14:solidFill>
                </w14:textFill>
              </w:rPr>
              <w:t>.00</w:t>
            </w:r>
          </w:p>
        </w:tc>
        <w:tc>
          <w:tcPr>
            <w:tcW w:w="2127" w:type="dxa"/>
            <w:vAlign w:val="center"/>
          </w:tcPr>
          <w:p w14:paraId="01668838">
            <w:pPr>
              <w:widowControl/>
              <w:spacing w:line="360" w:lineRule="auto"/>
              <w:jc w:val="center"/>
              <w:rPr>
                <w:rFonts w:ascii="宋体" w:hAnsi="宋体" w:eastAsia="宋体" w:cs="Times New Roman"/>
                <w:sz w:val="28"/>
                <w:szCs w:val="28"/>
              </w:rPr>
            </w:pPr>
            <w:r>
              <w:rPr>
                <w:rFonts w:hint="eastAsia" w:ascii="宋体" w:hAnsi="宋体" w:eastAsia="宋体" w:cs="Times New Roman"/>
                <w:color w:val="000000" w:themeColor="text1"/>
                <w:sz w:val="28"/>
                <w:szCs w:val="28"/>
                <w:lang w:val="en-US" w:eastAsia="zh-CN"/>
                <w14:textFill>
                  <w14:solidFill>
                    <w14:schemeClr w14:val="tx1"/>
                  </w14:solidFill>
                </w14:textFill>
              </w:rPr>
              <w:t>1918000</w:t>
            </w:r>
            <w:r>
              <w:rPr>
                <w:rFonts w:hint="eastAsia" w:ascii="宋体" w:hAnsi="宋体" w:eastAsia="宋体" w:cs="Times New Roman"/>
                <w:color w:val="000000" w:themeColor="text1"/>
                <w:sz w:val="28"/>
                <w:szCs w:val="28"/>
                <w14:textFill>
                  <w14:solidFill>
                    <w14:schemeClr w14:val="tx1"/>
                  </w14:solidFill>
                </w14:textFill>
              </w:rPr>
              <w:t>.00</w:t>
            </w:r>
          </w:p>
        </w:tc>
      </w:tr>
    </w:tbl>
    <w:p w14:paraId="4C5A2C80">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w:t>
      </w:r>
      <w:r>
        <w:rPr>
          <w:rFonts w:ascii="宋体" w:hAnsi="宋体" w:eastAsia="宋体" w:cs="Times New Roman"/>
          <w:color w:val="000000" w:themeColor="text1"/>
          <w:sz w:val="28"/>
          <w:szCs w:val="28"/>
          <w14:textFill>
            <w14:solidFill>
              <w14:schemeClr w14:val="tx1"/>
            </w14:solidFill>
          </w14:textFill>
        </w:rPr>
        <w:t>采购需求（包括但不限于标的的名称、数量、简要技术需求或服务要求等）</w:t>
      </w:r>
    </w:p>
    <w:p w14:paraId="5AACC699">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5.1</w:t>
      </w:r>
      <w:r>
        <w:rPr>
          <w:rFonts w:hint="eastAsia" w:ascii="宋体" w:hAnsi="宋体" w:eastAsia="宋体" w:cs="Times New Roman"/>
          <w:color w:val="000000" w:themeColor="text1"/>
          <w:sz w:val="28"/>
          <w:szCs w:val="28"/>
          <w:lang w:val="en-US" w:eastAsia="zh-CN"/>
          <w14:textFill>
            <w14:solidFill>
              <w14:schemeClr w14:val="tx1"/>
            </w14:solidFill>
          </w14:textFill>
        </w:rPr>
        <w:t>采购</w:t>
      </w:r>
      <w:r>
        <w:rPr>
          <w:rFonts w:hint="eastAsia" w:ascii="宋体" w:hAnsi="宋体" w:eastAsia="宋体" w:cs="Times New Roman"/>
          <w:color w:val="000000" w:themeColor="text1"/>
          <w:sz w:val="28"/>
          <w:szCs w:val="28"/>
          <w14:textFill>
            <w14:solidFill>
              <w14:schemeClr w14:val="tx1"/>
            </w14:solidFill>
          </w14:textFill>
        </w:rPr>
        <w:t>内容</w:t>
      </w:r>
      <w:r>
        <w:rPr>
          <w:rFonts w:ascii="宋体" w:hAnsi="宋体" w:eastAsia="宋体" w:cs="Times New Roman"/>
          <w:color w:val="000000" w:themeColor="text1"/>
          <w:sz w:val="28"/>
          <w:szCs w:val="28"/>
          <w14:textFill>
            <w14:solidFill>
              <w14:schemeClr w14:val="tx1"/>
            </w14:solidFill>
          </w14:textFill>
        </w:rPr>
        <w:t>：</w:t>
      </w:r>
      <w:r>
        <w:rPr>
          <w:rFonts w:hint="eastAsia" w:ascii="宋体" w:hAnsi="宋体" w:eastAsia="宋体" w:cs="Times New Roman"/>
          <w:color w:val="000000" w:themeColor="text1"/>
          <w:sz w:val="28"/>
          <w:szCs w:val="28"/>
          <w:lang w:val="en-US" w:eastAsia="zh-CN"/>
          <w14:textFill>
            <w14:solidFill>
              <w14:schemeClr w14:val="tx1"/>
            </w14:solidFill>
          </w14:textFill>
        </w:rPr>
        <w:t>采购赛事组织、器材和赛事物料等，</w:t>
      </w:r>
      <w:r>
        <w:rPr>
          <w:rFonts w:hint="eastAsia" w:asciiTheme="minorEastAsia" w:hAnsiTheme="minorEastAsia" w:cstheme="minorEastAsia"/>
          <w:color w:val="000000" w:themeColor="text1"/>
          <w:sz w:val="28"/>
          <w:szCs w:val="28"/>
          <w14:textFill>
            <w14:solidFill>
              <w14:schemeClr w14:val="tx1"/>
            </w14:solidFill>
          </w14:textFill>
        </w:rPr>
        <w:t>具体技术要求及相关内容详见竞争性磋商文件。</w:t>
      </w:r>
    </w:p>
    <w:p w14:paraId="3D44AC56">
      <w:pPr>
        <w:spacing w:line="600" w:lineRule="exact"/>
        <w:ind w:firstLine="560" w:firstLineChars="200"/>
        <w:rPr>
          <w:rFonts w:hint="eastAsia"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5.2</w:t>
      </w:r>
      <w:r>
        <w:rPr>
          <w:rFonts w:hint="eastAsia" w:ascii="宋体" w:hAnsi="宋体" w:eastAsia="宋体" w:cs="Times New Roman"/>
          <w:color w:val="000000" w:themeColor="text1"/>
          <w:sz w:val="28"/>
          <w:szCs w:val="32"/>
          <w14:textFill>
            <w14:solidFill>
              <w14:schemeClr w14:val="tx1"/>
            </w14:solidFill>
          </w14:textFill>
        </w:rPr>
        <w:t>资金来源：财政资金，已落实。</w:t>
      </w:r>
    </w:p>
    <w:p w14:paraId="6F59F4CD">
      <w:pPr>
        <w:spacing w:line="600" w:lineRule="exact"/>
        <w:ind w:firstLine="560" w:firstLineChars="200"/>
        <w:rPr>
          <w:rFonts w:hint="default" w:ascii="宋体" w:hAnsi="宋体" w:eastAsia="宋体" w:cs="Times New Roman"/>
          <w:color w:val="000000" w:themeColor="text1"/>
          <w:sz w:val="28"/>
          <w:szCs w:val="32"/>
          <w:lang w:val="en-US" w:eastAsia="zh-CN"/>
          <w14:textFill>
            <w14:solidFill>
              <w14:schemeClr w14:val="tx1"/>
            </w14:solidFill>
          </w14:textFill>
        </w:rPr>
      </w:pPr>
      <w:r>
        <w:rPr>
          <w:rFonts w:hint="eastAsia" w:ascii="宋体" w:hAnsi="宋体" w:eastAsia="宋体" w:cs="Times New Roman"/>
          <w:color w:val="000000" w:themeColor="text1"/>
          <w:sz w:val="28"/>
          <w:szCs w:val="32"/>
          <w:lang w:val="en-US" w:eastAsia="zh-CN"/>
          <w14:textFill>
            <w14:solidFill>
              <w14:schemeClr w14:val="tx1"/>
            </w14:solidFill>
          </w14:textFill>
        </w:rPr>
        <w:t>5.3服务期：</w:t>
      </w:r>
      <w:r>
        <w:rPr>
          <w:rFonts w:hint="eastAsia" w:ascii="宋体" w:hAnsi="宋体" w:eastAsia="宋体" w:cs="Times New Roman"/>
          <w:color w:val="000000" w:themeColor="text1"/>
          <w:sz w:val="28"/>
          <w:szCs w:val="32"/>
          <w:lang w:val="en-US" w:eastAsia="zh-Hans"/>
          <w14:textFill>
            <w14:solidFill>
              <w14:schemeClr w14:val="tx1"/>
            </w14:solidFill>
          </w14:textFill>
        </w:rPr>
        <w:t>自合同签署生效之日起至本项目工作全部结束止</w:t>
      </w:r>
    </w:p>
    <w:p w14:paraId="6AA9FED5">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5.</w:t>
      </w:r>
      <w:r>
        <w:rPr>
          <w:rFonts w:hint="eastAsia" w:ascii="宋体" w:hAnsi="宋体" w:eastAsia="宋体" w:cs="Times New Roman"/>
          <w:color w:val="000000" w:themeColor="text1"/>
          <w:sz w:val="28"/>
          <w:szCs w:val="32"/>
          <w:lang w:val="en-US" w:eastAsia="zh-CN"/>
          <w14:textFill>
            <w14:solidFill>
              <w14:schemeClr w14:val="tx1"/>
            </w14:solidFill>
          </w14:textFill>
        </w:rPr>
        <w:t>4</w:t>
      </w:r>
      <w:r>
        <w:rPr>
          <w:rFonts w:hint="eastAsia" w:ascii="宋体" w:hAnsi="宋体" w:eastAsia="宋体" w:cs="Times New Roman"/>
          <w:color w:val="000000" w:themeColor="text1"/>
          <w:sz w:val="28"/>
          <w:szCs w:val="32"/>
          <w14:textFill>
            <w14:solidFill>
              <w14:schemeClr w14:val="tx1"/>
            </w14:solidFill>
          </w14:textFill>
        </w:rPr>
        <w:t>质量要求：合格。</w:t>
      </w:r>
    </w:p>
    <w:p w14:paraId="472CAE23">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6</w:t>
      </w:r>
      <w:r>
        <w:rPr>
          <w:rFonts w:hint="eastAsia" w:ascii="宋体" w:hAnsi="宋体" w:eastAsia="宋体" w:cs="Times New Roman"/>
          <w:color w:val="000000" w:themeColor="text1"/>
          <w:sz w:val="28"/>
          <w:szCs w:val="32"/>
          <w14:textFill>
            <w14:solidFill>
              <w14:schemeClr w14:val="tx1"/>
            </w14:solidFill>
          </w14:textFill>
        </w:rPr>
        <w:t>、</w:t>
      </w:r>
      <w:r>
        <w:rPr>
          <w:rFonts w:ascii="宋体" w:hAnsi="宋体" w:eastAsia="宋体" w:cs="Times New Roman"/>
          <w:color w:val="000000" w:themeColor="text1"/>
          <w:sz w:val="28"/>
          <w:szCs w:val="32"/>
          <w14:textFill>
            <w14:solidFill>
              <w14:schemeClr w14:val="tx1"/>
            </w14:solidFill>
          </w14:textFill>
        </w:rPr>
        <w:t>合同履行期限：</w:t>
      </w:r>
      <w:r>
        <w:rPr>
          <w:rFonts w:hint="eastAsia" w:ascii="宋体" w:hAnsi="宋体" w:eastAsia="宋体" w:cs="Times New Roman"/>
          <w:color w:val="000000" w:themeColor="text1"/>
          <w:sz w:val="28"/>
          <w:szCs w:val="32"/>
          <w14:textFill>
            <w14:solidFill>
              <w14:schemeClr w14:val="tx1"/>
            </w14:solidFill>
          </w14:textFill>
        </w:rPr>
        <w:t>按合同约定执行。</w:t>
      </w:r>
    </w:p>
    <w:p w14:paraId="672DD6E8">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7</w:t>
      </w:r>
      <w:r>
        <w:rPr>
          <w:rFonts w:hint="eastAsia" w:ascii="宋体" w:hAnsi="宋体" w:eastAsia="宋体" w:cs="Times New Roman"/>
          <w:color w:val="000000" w:themeColor="text1"/>
          <w:sz w:val="28"/>
          <w:szCs w:val="32"/>
          <w14:textFill>
            <w14:solidFill>
              <w14:schemeClr w14:val="tx1"/>
            </w14:solidFill>
          </w14:textFill>
        </w:rPr>
        <w:t>、</w:t>
      </w:r>
      <w:r>
        <w:rPr>
          <w:rFonts w:ascii="宋体" w:hAnsi="宋体" w:eastAsia="宋体" w:cs="Times New Roman"/>
          <w:color w:val="000000" w:themeColor="text1"/>
          <w:sz w:val="28"/>
          <w:szCs w:val="32"/>
          <w14:textFill>
            <w14:solidFill>
              <w14:schemeClr w14:val="tx1"/>
            </w14:solidFill>
          </w14:textFill>
        </w:rPr>
        <w:t>本项目是否接受联合体投标：否</w:t>
      </w:r>
    </w:p>
    <w:p w14:paraId="6F69DAD1">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8</w:t>
      </w:r>
      <w:r>
        <w:rPr>
          <w:rFonts w:hint="eastAsia" w:ascii="宋体" w:hAnsi="宋体" w:eastAsia="宋体" w:cs="Times New Roman"/>
          <w:color w:val="000000" w:themeColor="text1"/>
          <w:sz w:val="28"/>
          <w:szCs w:val="32"/>
          <w14:textFill>
            <w14:solidFill>
              <w14:schemeClr w14:val="tx1"/>
            </w14:solidFill>
          </w14:textFill>
        </w:rPr>
        <w:t>、</w:t>
      </w:r>
      <w:r>
        <w:rPr>
          <w:rFonts w:ascii="宋体" w:hAnsi="宋体" w:eastAsia="宋体" w:cs="Times New Roman"/>
          <w:color w:val="000000" w:themeColor="text1"/>
          <w:sz w:val="28"/>
          <w:szCs w:val="32"/>
          <w14:textFill>
            <w14:solidFill>
              <w14:schemeClr w14:val="tx1"/>
            </w14:solidFill>
          </w14:textFill>
        </w:rPr>
        <w:t>是否接受进口产品：</w:t>
      </w:r>
      <w:r>
        <w:rPr>
          <w:rFonts w:hint="eastAsia" w:ascii="宋体" w:hAnsi="宋体" w:eastAsia="宋体" w:cs="Times New Roman"/>
          <w:color w:val="000000" w:themeColor="text1"/>
          <w:sz w:val="28"/>
          <w:szCs w:val="32"/>
          <w14:textFill>
            <w14:solidFill>
              <w14:schemeClr w14:val="tx1"/>
            </w14:solidFill>
          </w14:textFill>
        </w:rPr>
        <w:t>否</w:t>
      </w:r>
    </w:p>
    <w:p w14:paraId="047B5E9E">
      <w:pPr>
        <w:spacing w:line="600" w:lineRule="exact"/>
        <w:ind w:firstLine="560" w:firstLineChars="200"/>
        <w:rPr>
          <w:rFonts w:hint="eastAsia" w:ascii="宋体" w:hAnsi="宋体" w:eastAsia="宋体" w:cs="Times New Roman"/>
          <w:color w:val="000000" w:themeColor="text1"/>
          <w:sz w:val="28"/>
          <w:szCs w:val="32"/>
          <w:lang w:eastAsia="zh-CN"/>
          <w14:textFill>
            <w14:solidFill>
              <w14:schemeClr w14:val="tx1"/>
            </w14:solidFill>
          </w14:textFill>
        </w:rPr>
      </w:pPr>
      <w:r>
        <w:rPr>
          <w:rFonts w:hint="eastAsia" w:ascii="宋体" w:hAnsi="宋体" w:eastAsia="宋体" w:cs="Times New Roman"/>
          <w:color w:val="000000" w:themeColor="text1"/>
          <w:sz w:val="28"/>
          <w:szCs w:val="32"/>
          <w14:textFill>
            <w14:solidFill>
              <w14:schemeClr w14:val="tx1"/>
            </w14:solidFill>
          </w14:textFill>
        </w:rPr>
        <w:t>9、是否为只面向中小</w:t>
      </w:r>
      <w:r>
        <w:rPr>
          <w:rFonts w:hint="eastAsia" w:ascii="宋体" w:hAnsi="宋体" w:eastAsia="宋体" w:cs="Times New Roman"/>
          <w:color w:val="000000" w:themeColor="text1"/>
          <w:sz w:val="28"/>
          <w:szCs w:val="32"/>
          <w:lang w:eastAsia="zh-CN"/>
          <w14:textFill>
            <w14:solidFill>
              <w14:schemeClr w14:val="tx1"/>
            </w14:solidFill>
          </w14:textFill>
        </w:rPr>
        <w:t>微</w:t>
      </w:r>
      <w:r>
        <w:rPr>
          <w:rFonts w:hint="eastAsia" w:ascii="宋体" w:hAnsi="宋体" w:eastAsia="宋体" w:cs="Times New Roman"/>
          <w:color w:val="000000" w:themeColor="text1"/>
          <w:sz w:val="28"/>
          <w:szCs w:val="32"/>
          <w14:textFill>
            <w14:solidFill>
              <w14:schemeClr w14:val="tx1"/>
            </w14:solidFill>
          </w14:textFill>
        </w:rPr>
        <w:t>企业采购：</w:t>
      </w:r>
      <w:r>
        <w:rPr>
          <w:rFonts w:hint="eastAsia" w:ascii="宋体" w:hAnsi="宋体" w:eastAsia="宋体" w:cs="Times New Roman"/>
          <w:color w:val="000000" w:themeColor="text1"/>
          <w:sz w:val="28"/>
          <w:szCs w:val="32"/>
          <w:lang w:eastAsia="zh-CN"/>
          <w14:textFill>
            <w14:solidFill>
              <w14:schemeClr w14:val="tx1"/>
            </w14:solidFill>
          </w14:textFill>
        </w:rPr>
        <w:t>是</w:t>
      </w:r>
    </w:p>
    <w:p w14:paraId="6DDEB28A">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ascii="宋体" w:hAnsi="宋体" w:eastAsia="宋体" w:cs="Times New Roman"/>
          <w:color w:val="000000" w:themeColor="text1"/>
          <w:sz w:val="28"/>
          <w:szCs w:val="32"/>
          <w14:textFill>
            <w14:solidFill>
              <w14:schemeClr w14:val="tx1"/>
            </w14:solidFill>
          </w14:textFill>
        </w:rPr>
        <w:t>二、申请人资格要求</w:t>
      </w:r>
    </w:p>
    <w:p w14:paraId="4EBE29F2">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1</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满足《中华人民共和国政府采购法》第二十二条规定；</w:t>
      </w:r>
    </w:p>
    <w:p w14:paraId="2570B3F9">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落实政府采购政策满足的资格要求：</w:t>
      </w:r>
      <w:r>
        <w:rPr>
          <w:rFonts w:hint="eastAsia" w:ascii="宋体" w:hAnsi="宋体"/>
          <w:sz w:val="28"/>
          <w:szCs w:val="28"/>
        </w:rPr>
        <w:t>本项目</w:t>
      </w:r>
      <w:r>
        <w:rPr>
          <w:rFonts w:hint="eastAsia" w:ascii="宋体" w:hAnsi="宋体"/>
          <w:sz w:val="28"/>
          <w:szCs w:val="28"/>
          <w:lang w:eastAsia="zh-CN"/>
        </w:rPr>
        <w:t>为</w:t>
      </w:r>
      <w:r>
        <w:rPr>
          <w:rFonts w:hint="eastAsia" w:ascii="宋体" w:hAnsi="宋体"/>
          <w:sz w:val="28"/>
          <w:szCs w:val="28"/>
        </w:rPr>
        <w:t>专门面向中小微企业采购项目,执行促进中小企业（监狱企业、残疾人福利性企业）发展等政府采购政策</w:t>
      </w:r>
      <w:r>
        <w:rPr>
          <w:rFonts w:hint="eastAsia" w:ascii="宋体" w:hAnsi="宋体" w:eastAsia="宋体" w:cs="Times New Roman"/>
          <w:color w:val="000000" w:themeColor="text1"/>
          <w:sz w:val="28"/>
          <w:szCs w:val="28"/>
          <w14:textFill>
            <w14:solidFill>
              <w14:schemeClr w14:val="tx1"/>
            </w14:solidFill>
          </w14:textFill>
        </w:rPr>
        <w:t>。</w:t>
      </w:r>
    </w:p>
    <w:p w14:paraId="6FAAC9F8">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w:t>
      </w:r>
      <w:r>
        <w:rPr>
          <w:rFonts w:ascii="宋体" w:hAnsi="宋体" w:eastAsia="宋体" w:cs="Times New Roman"/>
          <w:color w:val="000000" w:themeColor="text1"/>
          <w:sz w:val="28"/>
          <w:szCs w:val="28"/>
          <w14:textFill>
            <w14:solidFill>
              <w14:schemeClr w14:val="tx1"/>
            </w14:solidFill>
          </w14:textFill>
        </w:rPr>
        <w:t>本项目的特定资格要求</w:t>
      </w:r>
    </w:p>
    <w:p w14:paraId="53705370">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hint="eastAsia" w:ascii="宋体" w:hAnsi="宋体" w:eastAsia="宋体" w:cs="Times New Roman"/>
          <w:color w:val="000000" w:themeColor="text1"/>
          <w:sz w:val="28"/>
          <w:szCs w:val="32"/>
          <w14:textFill>
            <w14:solidFill>
              <w14:schemeClr w14:val="tx1"/>
            </w14:solidFill>
          </w14:textFill>
        </w:rPr>
        <w:t>3.1、投标供应商须具有合法有效的营业执照；</w:t>
      </w:r>
    </w:p>
    <w:p w14:paraId="08427415">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hint="eastAsia" w:ascii="宋体" w:hAnsi="宋体" w:eastAsia="宋体" w:cs="Times New Roman"/>
          <w:color w:val="000000" w:themeColor="text1"/>
          <w:sz w:val="28"/>
          <w:szCs w:val="32"/>
          <w14:textFill>
            <w14:solidFill>
              <w14:schemeClr w14:val="tx1"/>
            </w14:solidFill>
          </w14:textFill>
        </w:rPr>
        <w:t>3.2、供应商须承诺本企业无商业贿赂和不正当竞争行为。</w:t>
      </w:r>
    </w:p>
    <w:p w14:paraId="409B5B20">
      <w:pPr>
        <w:spacing w:line="600" w:lineRule="exact"/>
        <w:ind w:firstLine="560" w:firstLineChars="200"/>
        <w:rPr>
          <w:rFonts w:ascii="宋体" w:hAnsi="宋体" w:eastAsia="宋体" w:cs="Times New Roman"/>
          <w:color w:val="000000" w:themeColor="text1"/>
          <w:sz w:val="28"/>
          <w:szCs w:val="32"/>
          <w14:textFill>
            <w14:solidFill>
              <w14:schemeClr w14:val="tx1"/>
            </w14:solidFill>
          </w14:textFill>
        </w:rPr>
      </w:pPr>
      <w:r>
        <w:rPr>
          <w:rFonts w:hint="eastAsia" w:ascii="宋体" w:hAnsi="宋体" w:eastAsia="宋体" w:cs="Times New Roman"/>
          <w:color w:val="000000" w:themeColor="text1"/>
          <w:sz w:val="28"/>
          <w:szCs w:val="32"/>
          <w14:textFill>
            <w14:solidFill>
              <w14:schemeClr w14:val="tx1"/>
            </w14:solidFill>
          </w14:textFill>
        </w:rPr>
        <w:t>3.3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073FECA">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3.4、本项目不接受联合体投标。提供非联合体承诺，格式自拟。</w:t>
      </w:r>
    </w:p>
    <w:p w14:paraId="639F10C3">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三、获取采购文件</w:t>
      </w:r>
    </w:p>
    <w:p w14:paraId="72830928">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1.时间：202</w:t>
      </w:r>
      <w:r>
        <w:rPr>
          <w:rFonts w:hint="eastAsia" w:ascii="宋体" w:hAnsi="宋体" w:eastAsia="宋体" w:cs="Times New Roman"/>
          <w:color w:val="000000" w:themeColor="text1"/>
          <w:sz w:val="28"/>
          <w:szCs w:val="28"/>
          <w:lang w:val="en-US" w:eastAsia="zh-CN"/>
          <w14:textFill>
            <w14:solidFill>
              <w14:schemeClr w14:val="tx1"/>
            </w14:solidFill>
          </w14:textFill>
        </w:rPr>
        <w:t>5</w:t>
      </w:r>
      <w:r>
        <w:rPr>
          <w:rFonts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24</w:t>
      </w:r>
      <w:r>
        <w:rPr>
          <w:rFonts w:ascii="宋体" w:hAnsi="宋体" w:eastAsia="宋体" w:cs="Times New Roman"/>
          <w:color w:val="000000" w:themeColor="text1"/>
          <w:sz w:val="28"/>
          <w:szCs w:val="28"/>
          <w14:textFill>
            <w14:solidFill>
              <w14:schemeClr w14:val="tx1"/>
            </w14:solidFill>
          </w14:textFill>
        </w:rPr>
        <w:t>日至202</w:t>
      </w:r>
      <w:r>
        <w:rPr>
          <w:rFonts w:hint="eastAsia" w:ascii="宋体" w:hAnsi="宋体" w:eastAsia="宋体" w:cs="Times New Roman"/>
          <w:color w:val="000000" w:themeColor="text1"/>
          <w:sz w:val="28"/>
          <w:szCs w:val="28"/>
          <w:lang w:val="en-US" w:eastAsia="zh-CN"/>
          <w14:textFill>
            <w14:solidFill>
              <w14:schemeClr w14:val="tx1"/>
            </w14:solidFill>
          </w14:textFill>
        </w:rPr>
        <w:t>5</w:t>
      </w:r>
      <w:r>
        <w:rPr>
          <w:rFonts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2</w:t>
      </w:r>
      <w:r>
        <w:rPr>
          <w:rFonts w:ascii="宋体" w:hAnsi="宋体" w:eastAsia="宋体" w:cs="Times New Roman"/>
          <w:color w:val="000000" w:themeColor="text1"/>
          <w:sz w:val="28"/>
          <w:szCs w:val="28"/>
          <w14:textFill>
            <w14:solidFill>
              <w14:schemeClr w14:val="tx1"/>
            </w14:solidFill>
          </w14:textFill>
        </w:rPr>
        <w:t>日，每天上午00:00至12:00，下午12:00至23:59（北京时间）</w:t>
      </w:r>
    </w:p>
    <w:p w14:paraId="7A73F2F7">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2.地点：三门峡市公共资源交易中心网</w:t>
      </w:r>
    </w:p>
    <w:p w14:paraId="55E1CED9">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方式：供应商凭CA数字证书通过三门峡市公共资源交易中心网（网址：http://gzjy.smx.gov.cn/），点击交易平台选择“市场主体登录”，登陆系统后，点击采购业务-业务管理-竞争性磋商文件领取菜单-点击领取按钮-领取.smxzf格式的电子竞争性磋商文件。</w:t>
      </w:r>
    </w:p>
    <w:p w14:paraId="7A413F99">
      <w:pPr>
        <w:spacing w:line="600" w:lineRule="exact"/>
        <w:ind w:firstLine="560" w:firstLineChars="200"/>
        <w:jc w:val="left"/>
        <w:rPr>
          <w:rFonts w:ascii="宋体" w:hAnsi="宋体" w:eastAsia="宋体" w:cs="Times New Roman"/>
          <w:color w:val="000000" w:themeColor="text1"/>
          <w:sz w:val="28"/>
          <w:szCs w:val="28"/>
          <w:u w:val="single"/>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办理</w:t>
      </w:r>
      <w:r>
        <w:rPr>
          <w:rFonts w:ascii="宋体" w:hAnsi="宋体" w:eastAsia="宋体" w:cs="Times New Roman"/>
          <w:color w:val="000000" w:themeColor="text1"/>
          <w:sz w:val="28"/>
          <w:szCs w:val="28"/>
          <w14:textFill>
            <w14:solidFill>
              <w14:schemeClr w14:val="tx1"/>
            </w14:solidFill>
          </w14:textFill>
        </w:rPr>
        <w:t>CA证书链接：http://gzjy.smx.gov.cn/fwzn/004003/20201019/a8fae6a0-baed-499b-bb50-8ecc8828a2ca.html</w:t>
      </w:r>
    </w:p>
    <w:p w14:paraId="6DC98578">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4.售价：0元</w:t>
      </w:r>
    </w:p>
    <w:p w14:paraId="3515FD7B">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四</w:t>
      </w:r>
      <w:r>
        <w:rPr>
          <w:rFonts w:ascii="宋体" w:hAnsi="宋体" w:eastAsia="宋体" w:cs="Times New Roman"/>
          <w:color w:val="000000" w:themeColor="text1"/>
          <w:sz w:val="28"/>
          <w:szCs w:val="28"/>
          <w14:textFill>
            <w14:solidFill>
              <w14:schemeClr w14:val="tx1"/>
            </w14:solidFill>
          </w14:textFill>
        </w:rPr>
        <w:t>、响应文件提交</w:t>
      </w:r>
    </w:p>
    <w:p w14:paraId="43B29ADE">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1.时间：</w:t>
      </w:r>
      <w:r>
        <w:rPr>
          <w:rFonts w:hint="eastAsia" w:ascii="宋体" w:hAnsi="宋体" w:eastAsia="宋体" w:cs="Times New Roman"/>
          <w:color w:val="000000" w:themeColor="text1"/>
          <w:sz w:val="28"/>
          <w:szCs w:val="28"/>
          <w14:textFill>
            <w14:solidFill>
              <w14:schemeClr w14:val="tx1"/>
            </w14:solidFill>
          </w14:textFill>
        </w:rPr>
        <w:t>202</w:t>
      </w:r>
      <w:r>
        <w:rPr>
          <w:rFonts w:hint="eastAsia" w:ascii="宋体" w:hAnsi="宋体" w:eastAsia="宋体" w:cs="Times New Roman"/>
          <w:color w:val="000000" w:themeColor="text1"/>
          <w:sz w:val="28"/>
          <w:szCs w:val="28"/>
          <w:lang w:val="en-US" w:eastAsia="zh-CN"/>
          <w14:textFill>
            <w14:solidFill>
              <w14:schemeClr w14:val="tx1"/>
            </w14:solidFill>
          </w14:textFill>
        </w:rPr>
        <w:t>5</w:t>
      </w:r>
      <w:r>
        <w:rPr>
          <w:rFonts w:hint="eastAsia"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日0</w:t>
      </w:r>
      <w:r>
        <w:rPr>
          <w:rFonts w:hint="eastAsia" w:ascii="宋体" w:hAnsi="宋体" w:eastAsia="宋体" w:cs="Times New Roman"/>
          <w:color w:val="000000" w:themeColor="text1"/>
          <w:sz w:val="28"/>
          <w:szCs w:val="28"/>
          <w:lang w:val="en-US" w:eastAsia="zh-CN"/>
          <w14:textFill>
            <w14:solidFill>
              <w14:schemeClr w14:val="tx1"/>
            </w14:solidFill>
          </w14:textFill>
        </w:rPr>
        <w:t>8</w:t>
      </w:r>
      <w:r>
        <w:rPr>
          <w:rFonts w:hint="eastAsia" w:ascii="宋体" w:hAnsi="宋体" w:eastAsia="宋体" w:cs="Times New Roman"/>
          <w:color w:val="000000" w:themeColor="text1"/>
          <w:sz w:val="28"/>
          <w:szCs w:val="28"/>
          <w14:textFill>
            <w14:solidFill>
              <w14:schemeClr w14:val="tx1"/>
            </w14:solidFill>
          </w14:textFill>
        </w:rPr>
        <w:t>时30分</w:t>
      </w:r>
      <w:r>
        <w:rPr>
          <w:rFonts w:ascii="宋体" w:hAnsi="宋体" w:eastAsia="宋体" w:cs="Times New Roman"/>
          <w:color w:val="000000" w:themeColor="text1"/>
          <w:sz w:val="28"/>
          <w:szCs w:val="28"/>
          <w14:textFill>
            <w14:solidFill>
              <w14:schemeClr w14:val="tx1"/>
            </w14:solidFill>
          </w14:textFill>
        </w:rPr>
        <w:t>（北京时间）</w:t>
      </w:r>
    </w:p>
    <w:p w14:paraId="1CF10C77">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2.地点：</w:t>
      </w:r>
      <w:r>
        <w:rPr>
          <w:rFonts w:hint="eastAsia" w:ascii="宋体" w:hAnsi="宋体" w:eastAsia="宋体" w:cs="Times New Roman"/>
          <w:color w:val="000000" w:themeColor="text1"/>
          <w:sz w:val="28"/>
          <w:szCs w:val="28"/>
          <w14:textFill>
            <w14:solidFill>
              <w14:schemeClr w14:val="tx1"/>
            </w14:solidFill>
          </w14:textFill>
        </w:rPr>
        <w:t>加密电子竞争性磋商响应文件须在磋商截止时间前通过三门峡市公共资源交易中心电子交易平台加密上传。</w:t>
      </w:r>
    </w:p>
    <w:p w14:paraId="3690AC9A">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五、响应文件开启</w:t>
      </w:r>
    </w:p>
    <w:p w14:paraId="5A214DF8">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w:t>
      </w:r>
      <w:r>
        <w:rPr>
          <w:rFonts w:ascii="宋体" w:hAnsi="宋体" w:eastAsia="宋体" w:cs="Times New Roman"/>
          <w:color w:val="000000" w:themeColor="text1"/>
          <w:sz w:val="28"/>
          <w:szCs w:val="28"/>
          <w14:textFill>
            <w14:solidFill>
              <w14:schemeClr w14:val="tx1"/>
            </w14:solidFill>
          </w14:textFill>
        </w:rPr>
        <w:t>时间：</w:t>
      </w:r>
      <w:r>
        <w:rPr>
          <w:rFonts w:hint="eastAsia" w:ascii="宋体" w:hAnsi="宋体" w:eastAsia="宋体" w:cs="Times New Roman"/>
          <w:color w:val="000000" w:themeColor="text1"/>
          <w:sz w:val="28"/>
          <w:szCs w:val="28"/>
          <w14:textFill>
            <w14:solidFill>
              <w14:schemeClr w14:val="tx1"/>
            </w14:solidFill>
          </w14:textFill>
        </w:rPr>
        <w:t>202</w:t>
      </w:r>
      <w:r>
        <w:rPr>
          <w:rFonts w:hint="eastAsia" w:ascii="宋体" w:hAnsi="宋体" w:eastAsia="宋体" w:cs="Times New Roman"/>
          <w:color w:val="000000" w:themeColor="text1"/>
          <w:sz w:val="28"/>
          <w:szCs w:val="28"/>
          <w:lang w:val="en-US" w:eastAsia="zh-CN"/>
          <w14:textFill>
            <w14:solidFill>
              <w14:schemeClr w14:val="tx1"/>
            </w14:solidFill>
          </w14:textFill>
        </w:rPr>
        <w:t>5</w:t>
      </w:r>
      <w:r>
        <w:rPr>
          <w:rFonts w:hint="eastAsia" w:ascii="宋体" w:hAnsi="宋体" w:eastAsia="宋体" w:cs="Times New Roman"/>
          <w:color w:val="000000" w:themeColor="text1"/>
          <w:sz w:val="28"/>
          <w:szCs w:val="28"/>
          <w14:textFill>
            <w14:solidFill>
              <w14:schemeClr w14:val="tx1"/>
            </w14:solidFill>
          </w14:textFill>
        </w:rPr>
        <w:t>年</w:t>
      </w:r>
      <w:r>
        <w:rPr>
          <w:rFonts w:hint="eastAsia" w:ascii="宋体" w:hAnsi="宋体" w:eastAsia="宋体" w:cs="Times New Roman"/>
          <w:color w:val="000000" w:themeColor="text1"/>
          <w:sz w:val="28"/>
          <w:szCs w:val="28"/>
          <w:lang w:val="en-US" w:eastAsia="zh-CN"/>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月</w:t>
      </w:r>
      <w:r>
        <w:rPr>
          <w:rFonts w:hint="eastAsia" w:ascii="宋体" w:hAnsi="宋体" w:eastAsia="宋体" w:cs="Times New Roman"/>
          <w:color w:val="000000" w:themeColor="text1"/>
          <w:sz w:val="28"/>
          <w:szCs w:val="28"/>
          <w:lang w:val="en-US" w:eastAsia="zh-CN"/>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日0</w:t>
      </w:r>
      <w:r>
        <w:rPr>
          <w:rFonts w:hint="eastAsia" w:ascii="宋体" w:hAnsi="宋体" w:eastAsia="宋体" w:cs="Times New Roman"/>
          <w:color w:val="000000" w:themeColor="text1"/>
          <w:sz w:val="28"/>
          <w:szCs w:val="28"/>
          <w:lang w:val="en-US" w:eastAsia="zh-CN"/>
          <w14:textFill>
            <w14:solidFill>
              <w14:schemeClr w14:val="tx1"/>
            </w14:solidFill>
          </w14:textFill>
        </w:rPr>
        <w:t>8</w:t>
      </w:r>
      <w:r>
        <w:rPr>
          <w:rFonts w:hint="eastAsia" w:ascii="宋体" w:hAnsi="宋体" w:eastAsia="宋体" w:cs="Times New Roman"/>
          <w:color w:val="000000" w:themeColor="text1"/>
          <w:sz w:val="28"/>
          <w:szCs w:val="28"/>
          <w14:textFill>
            <w14:solidFill>
              <w14:schemeClr w14:val="tx1"/>
            </w14:solidFill>
          </w14:textFill>
        </w:rPr>
        <w:t>时30分</w:t>
      </w:r>
      <w:r>
        <w:rPr>
          <w:rFonts w:ascii="宋体" w:hAnsi="宋体" w:eastAsia="宋体" w:cs="Times New Roman"/>
          <w:color w:val="000000" w:themeColor="text1"/>
          <w:sz w:val="28"/>
          <w:szCs w:val="28"/>
          <w14:textFill>
            <w14:solidFill>
              <w14:schemeClr w14:val="tx1"/>
            </w14:solidFill>
          </w14:textFill>
        </w:rPr>
        <w:t>（北京时间）</w:t>
      </w:r>
    </w:p>
    <w:p w14:paraId="55B88855">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w:t>
      </w:r>
      <w:r>
        <w:rPr>
          <w:rFonts w:ascii="宋体" w:hAnsi="宋体" w:eastAsia="宋体" w:cs="Times New Roman"/>
          <w:color w:val="000000" w:themeColor="text1"/>
          <w:sz w:val="28"/>
          <w:szCs w:val="28"/>
          <w14:textFill>
            <w14:solidFill>
              <w14:schemeClr w14:val="tx1"/>
            </w14:solidFill>
          </w14:textFill>
        </w:rPr>
        <w:t>地点：</w:t>
      </w:r>
      <w:r>
        <w:rPr>
          <w:rFonts w:hint="eastAsia" w:ascii="宋体" w:hAnsi="宋体" w:eastAsia="宋体" w:cs="Times New Roman"/>
          <w:color w:val="000000" w:themeColor="text1"/>
          <w:sz w:val="28"/>
          <w:szCs w:val="28"/>
          <w14:textFill>
            <w14:solidFill>
              <w14:schemeClr w14:val="tx1"/>
            </w14:solidFill>
          </w14:textFill>
        </w:rPr>
        <w:t>三门峡市陕州区公共资源交易中心开标室</w:t>
      </w:r>
    </w:p>
    <w:p w14:paraId="1AF41077">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六、发布公告的媒介</w:t>
      </w:r>
      <w:r>
        <w:rPr>
          <w:rFonts w:hint="eastAsia" w:ascii="宋体" w:hAnsi="宋体" w:eastAsia="宋体" w:cs="Times New Roman"/>
          <w:color w:val="000000" w:themeColor="text1"/>
          <w:sz w:val="28"/>
          <w:szCs w:val="28"/>
          <w14:textFill>
            <w14:solidFill>
              <w14:schemeClr w14:val="tx1"/>
            </w14:solidFill>
          </w14:textFill>
        </w:rPr>
        <w:t>及</w:t>
      </w:r>
      <w:r>
        <w:rPr>
          <w:rFonts w:ascii="宋体" w:hAnsi="宋体" w:eastAsia="宋体" w:cs="Times New Roman"/>
          <w:color w:val="000000" w:themeColor="text1"/>
          <w:sz w:val="28"/>
          <w:szCs w:val="28"/>
          <w14:textFill>
            <w14:solidFill>
              <w14:schemeClr w14:val="tx1"/>
            </w14:solidFill>
          </w14:textFill>
        </w:rPr>
        <w:t>公告期限</w:t>
      </w:r>
    </w:p>
    <w:p w14:paraId="5D3DEB9C">
      <w:pPr>
        <w:spacing w:line="600" w:lineRule="exact"/>
        <w:ind w:firstLine="560" w:firstLineChars="200"/>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本次公告在《河南省政府采购网》、《中国招标投标公共服务平台》、《三门峡市公共资源交易中心网》上发布。</w:t>
      </w:r>
    </w:p>
    <w:p w14:paraId="2CE1074A">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七、其他补充事宜</w:t>
      </w:r>
    </w:p>
    <w:p w14:paraId="59FDF1A0">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1.本项目为不见面开标项目，开标当日，投标人无需到开标现场参加开标会</w:t>
      </w:r>
      <w:r>
        <w:rPr>
          <w:rFonts w:hint="eastAsia" w:ascii="宋体" w:hAnsi="宋体" w:eastAsia="宋体" w:cs="Times New Roman"/>
          <w:color w:val="000000" w:themeColor="text1"/>
          <w:sz w:val="28"/>
          <w:szCs w:val="28"/>
          <w14:textFill>
            <w14:solidFill>
              <w14:schemeClr w14:val="tx1"/>
            </w14:solidFill>
          </w14:textFill>
        </w:rPr>
        <w:t>议，投标人应当在投标截止时间前，登陆不见面开标大厅选择登陆三门峡市公共资源电子招投标系统进行登陆（网址为</w:t>
      </w:r>
      <w:r>
        <w:rPr>
          <w:rFonts w:ascii="宋体" w:hAnsi="宋体" w:eastAsia="宋体" w:cs="Times New Roman"/>
          <w:color w:val="000000" w:themeColor="text1"/>
          <w:sz w:val="28"/>
          <w:szCs w:val="28"/>
          <w14:textFill>
            <w14:solidFill>
              <w14:schemeClr w14:val="tx1"/>
            </w14:solidFill>
          </w14:textFill>
        </w:rPr>
        <w:t>http://120.194.249.36:10094/BidOpening/bidopeninghallaction/hall/login）,在线准时参加开标活动并进行磋商响应文件解密等。每位投标人的解密时间为开标时间起30分钟内完成。因投标人原因未能解密、解密失败或解密超时的将被拒绝。</w:t>
      </w:r>
    </w:p>
    <w:p w14:paraId="092FD843">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2.本项目为电子化、无纸化交易项目，开标时不再接受任何纸质资料，为保证</w:t>
      </w:r>
      <w:r>
        <w:rPr>
          <w:rFonts w:hint="eastAsia" w:ascii="宋体" w:hAnsi="宋体" w:eastAsia="宋体" w:cs="Times New Roman"/>
          <w:color w:val="000000" w:themeColor="text1"/>
          <w:sz w:val="28"/>
          <w:szCs w:val="28"/>
          <w14:textFill>
            <w14:solidFill>
              <w14:schemeClr w14:val="tx1"/>
            </w14:solidFill>
          </w14:textFill>
        </w:rPr>
        <w:t>您能投标成功，请需仔细阅读竞争性磋商文件和三门峡市公共资源交易中心官网业务办理指南。</w:t>
      </w:r>
    </w:p>
    <w:p w14:paraId="4A2A1CC1">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3</w:t>
      </w:r>
      <w:r>
        <w:rPr>
          <w:rFonts w:hint="eastAsia" w:ascii="宋体" w:hAnsi="宋体"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w:t>
      </w:r>
    </w:p>
    <w:p w14:paraId="76E4077A">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4</w:t>
      </w:r>
      <w:r>
        <w:rPr>
          <w:rFonts w:hint="eastAsia" w:ascii="宋体" w:hAnsi="宋体" w:eastAsia="宋体" w:cs="Times New Roman"/>
          <w:color w:val="000000" w:themeColor="text1"/>
          <w:sz w:val="28"/>
          <w:szCs w:val="28"/>
          <w14:textFill>
            <w14:solidFill>
              <w14:schemeClr w14:val="tx1"/>
            </w14:solidFill>
          </w14:textFill>
        </w:rPr>
        <w:t>.本项目实行资格后审，审查内容以竞争性磋商响应文件为准，其上传资料真实性由供应商自行承担，同时，供应商请完善主体库。</w:t>
      </w:r>
    </w:p>
    <w:p w14:paraId="5D09DC65">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5.评标打分部分：评标打分部分仍按照100分制原则进行，涉及到资格审查、企业荣誉、企业业绩等计分部分时，以投标单位自行上传到磋商响应文件中的相应内容为准。</w:t>
      </w:r>
    </w:p>
    <w:p w14:paraId="1C4962C9">
      <w:pPr>
        <w:spacing w:line="600" w:lineRule="exact"/>
        <w:ind w:firstLine="560" w:firstLineChars="200"/>
        <w:rPr>
          <w:rFonts w:ascii="宋体" w:hAnsi="宋体" w:eastAsia="宋体" w:cs="Times New Roman"/>
          <w:color w:val="000000" w:themeColor="text1"/>
          <w:sz w:val="28"/>
          <w:szCs w:val="28"/>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6.</w:t>
      </w:r>
      <w:r>
        <w:rPr>
          <w:rFonts w:hint="eastAsia" w:ascii="宋体" w:hAnsi="宋体" w:eastAsia="宋体" w:cs="Times New Roman"/>
          <w:color w:val="000000" w:themeColor="text1"/>
          <w:sz w:val="28"/>
          <w:szCs w:val="28"/>
          <w14:textFill>
            <w14:solidFill>
              <w14:schemeClr w14:val="tx1"/>
            </w14:solidFill>
          </w14:textFill>
        </w:rPr>
        <w:t>在竞争性磋商文件中要求投标人按照磋商响应文件格式进行磋商响应文件编制，在磋商响应文件编制时，应明确将供应商企业基本情况、人员情况、财务情况、业绩情况编入磋商响应文件，便于进行资格审查及评标打分。</w:t>
      </w:r>
    </w:p>
    <w:p w14:paraId="2F1A4B39">
      <w:pPr>
        <w:spacing w:line="600" w:lineRule="exact"/>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八、凡对本次招标提出询问，请按照以下方式联系</w:t>
      </w:r>
    </w:p>
    <w:p w14:paraId="536A378C">
      <w:pPr>
        <w:spacing w:line="600" w:lineRule="exact"/>
        <w:ind w:firstLine="560" w:firstLineChars="200"/>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1.采购人：</w:t>
      </w:r>
      <w:r>
        <w:rPr>
          <w:rFonts w:hint="eastAsia" w:ascii="宋体" w:hAnsi="宋体" w:eastAsia="宋体" w:cs="Times New Roman"/>
          <w:color w:val="000000" w:themeColor="text1"/>
          <w:sz w:val="28"/>
          <w:szCs w:val="28"/>
          <w:lang w:eastAsia="zh-CN"/>
          <w14:textFill>
            <w14:solidFill>
              <w14:schemeClr w14:val="tx1"/>
            </w14:solidFill>
          </w14:textFill>
        </w:rPr>
        <w:t>三门峡市陕州区教育体育局</w:t>
      </w:r>
      <w:r>
        <w:rPr>
          <w:rFonts w:hint="eastAsia" w:ascii="宋体" w:hAnsi="宋体" w:eastAsia="宋体" w:cs="Times New Roman"/>
          <w:color w:val="000000" w:themeColor="text1"/>
          <w:sz w:val="28"/>
          <w:szCs w:val="28"/>
          <w14:textFill>
            <w14:solidFill>
              <w14:schemeClr w14:val="tx1"/>
            </w14:solidFill>
          </w14:textFill>
        </w:rPr>
        <w:t xml:space="preserve"> </w:t>
      </w:r>
    </w:p>
    <w:p w14:paraId="2221E304">
      <w:pPr>
        <w:spacing w:line="600" w:lineRule="exact"/>
        <w:ind w:firstLine="560" w:firstLineChars="200"/>
        <w:jc w:val="left"/>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    址：</w:t>
      </w:r>
      <w:r>
        <w:rPr>
          <w:rFonts w:hint="eastAsia" w:ascii="宋体" w:hAnsi="宋体" w:eastAsia="宋体" w:cs="Times New Roman"/>
          <w:color w:val="000000" w:themeColor="text1"/>
          <w:sz w:val="28"/>
          <w:szCs w:val="28"/>
          <w:lang w:eastAsia="zh-CN"/>
          <w14:textFill>
            <w14:solidFill>
              <w14:schemeClr w14:val="tx1"/>
            </w14:solidFill>
          </w14:textFill>
        </w:rPr>
        <w:t>三门峡市陕州区高阳路中段</w:t>
      </w:r>
    </w:p>
    <w:p w14:paraId="157079ED">
      <w:pPr>
        <w:spacing w:line="600" w:lineRule="exact"/>
        <w:ind w:firstLine="560" w:firstLineChars="200"/>
        <w:jc w:val="left"/>
        <w:rPr>
          <w:rFonts w:hint="eastAsia"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w:t>
      </w:r>
      <w:r>
        <w:rPr>
          <w:rFonts w:hint="eastAsia" w:ascii="宋体" w:hAnsi="宋体" w:eastAsia="宋体" w:cs="Times New Roman"/>
          <w:color w:val="000000" w:themeColor="text1"/>
          <w:sz w:val="28"/>
          <w:szCs w:val="28"/>
          <w:lang w:eastAsia="zh-CN"/>
          <w14:textFill>
            <w14:solidFill>
              <w14:schemeClr w14:val="tx1"/>
            </w14:solidFill>
          </w14:textFill>
        </w:rPr>
        <w:t>白先生</w:t>
      </w:r>
    </w:p>
    <w:p w14:paraId="6DDC0141">
      <w:pPr>
        <w:spacing w:line="600" w:lineRule="exact"/>
        <w:ind w:firstLine="560" w:firstLineChars="200"/>
        <w:jc w:val="left"/>
        <w:rPr>
          <w:rFonts w:hint="default" w:ascii="宋体" w:hAnsi="宋体" w:eastAsia="宋体" w:cs="Times New Roman"/>
          <w:color w:val="000000" w:themeColor="text1"/>
          <w:sz w:val="28"/>
          <w:szCs w:val="28"/>
          <w:lang w:val="en-US"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w:t>
      </w:r>
      <w:r>
        <w:rPr>
          <w:rFonts w:hint="eastAsia" w:ascii="宋体" w:hAnsi="宋体" w:eastAsia="宋体" w:cs="Times New Roman"/>
          <w:color w:val="000000" w:themeColor="text1"/>
          <w:sz w:val="28"/>
          <w:szCs w:val="28"/>
          <w:lang w:val="en-US" w:eastAsia="zh-CN"/>
          <w14:textFill>
            <w14:solidFill>
              <w14:schemeClr w14:val="tx1"/>
            </w14:solidFill>
          </w14:textFill>
        </w:rPr>
        <w:t>0398-3854018</w:t>
      </w:r>
    </w:p>
    <w:p w14:paraId="251AFE6E">
      <w:pPr>
        <w:spacing w:line="600" w:lineRule="exact"/>
        <w:ind w:firstLine="560" w:firstLineChars="200"/>
        <w:jc w:val="left"/>
        <w:rPr>
          <w:rFonts w:hint="eastAsia" w:ascii="宋体" w:hAnsi="宋体" w:eastAsia="宋体" w:cs="Times New Roman"/>
          <w:color w:val="000000" w:themeColor="text1"/>
          <w:sz w:val="28"/>
          <w:szCs w:val="28"/>
          <w:lang w:eastAsia="zh-CN"/>
          <w14:textFill>
            <w14:solidFill>
              <w14:schemeClr w14:val="tx1"/>
            </w14:solidFill>
          </w14:textFill>
        </w:rPr>
      </w:pPr>
      <w:r>
        <w:rPr>
          <w:rFonts w:ascii="宋体" w:hAnsi="宋体" w:eastAsia="宋体" w:cs="Times New Roman"/>
          <w:color w:val="000000" w:themeColor="text1"/>
          <w:sz w:val="28"/>
          <w:szCs w:val="28"/>
          <w14:textFill>
            <w14:solidFill>
              <w14:schemeClr w14:val="tx1"/>
            </w14:solidFill>
          </w14:textFill>
        </w:rPr>
        <w:t>2</w:t>
      </w:r>
      <w:r>
        <w:rPr>
          <w:rFonts w:hint="eastAsia" w:ascii="宋体" w:hAnsi="宋体" w:eastAsia="宋体" w:cs="Times New Roman"/>
          <w:color w:val="000000" w:themeColor="text1"/>
          <w:sz w:val="28"/>
          <w:szCs w:val="28"/>
          <w14:textFill>
            <w14:solidFill>
              <w14:schemeClr w14:val="tx1"/>
            </w14:solidFill>
          </w14:textFill>
        </w:rPr>
        <w:t>.采购</w:t>
      </w:r>
      <w:r>
        <w:rPr>
          <w:rFonts w:ascii="宋体" w:hAnsi="宋体" w:eastAsia="宋体" w:cs="Times New Roman"/>
          <w:color w:val="000000" w:themeColor="text1"/>
          <w:sz w:val="28"/>
          <w:szCs w:val="28"/>
          <w14:textFill>
            <w14:solidFill>
              <w14:schemeClr w14:val="tx1"/>
            </w14:solidFill>
          </w14:textFill>
        </w:rPr>
        <w:t>代理机构：</w:t>
      </w:r>
      <w:r>
        <w:rPr>
          <w:rFonts w:hint="eastAsia" w:ascii="宋体" w:hAnsi="宋体" w:eastAsia="宋体" w:cs="Times New Roman"/>
          <w:color w:val="000000" w:themeColor="text1"/>
          <w:sz w:val="28"/>
          <w:szCs w:val="28"/>
          <w:lang w:eastAsia="zh-CN"/>
          <w14:textFill>
            <w14:solidFill>
              <w14:schemeClr w14:val="tx1"/>
            </w14:solidFill>
          </w14:textFill>
        </w:rPr>
        <w:t>河南晨宇咨询有限公司</w:t>
      </w:r>
    </w:p>
    <w:p w14:paraId="3BC5D292">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地址：三门峡市陕州区新华书店办公楼212室</w:t>
      </w:r>
    </w:p>
    <w:p w14:paraId="0CE70B76">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 xml:space="preserve">联系人：孙女士 </w:t>
      </w:r>
    </w:p>
    <w:p w14:paraId="3F584F65">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联系方式：15939819892</w:t>
      </w:r>
    </w:p>
    <w:p w14:paraId="2DAD501F">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3.项目联系方式</w:t>
      </w:r>
    </w:p>
    <w:p w14:paraId="22B81115">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联系人：孙女士</w:t>
      </w:r>
    </w:p>
    <w:p w14:paraId="672C636C">
      <w:pPr>
        <w:spacing w:line="600" w:lineRule="exact"/>
        <w:ind w:firstLine="560" w:firstLineChars="200"/>
        <w:jc w:val="left"/>
        <w:rPr>
          <w:rFonts w:hint="eastAsia"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联系方式：15939819892</w:t>
      </w:r>
    </w:p>
    <w:p w14:paraId="747445E0">
      <w:pPr>
        <w:spacing w:line="520" w:lineRule="exact"/>
        <w:rPr>
          <w:rFonts w:ascii="宋体" w:hAnsi="宋体" w:eastAsia="宋体" w:cs="Times New Roman"/>
          <w:color w:val="000000" w:themeColor="text1"/>
          <w:sz w:val="24"/>
          <w:szCs w:val="24"/>
          <w14:textFill>
            <w14:solidFill>
              <w14:schemeClr w14:val="tx1"/>
            </w14:solidFill>
          </w14:textFill>
        </w:rPr>
      </w:pPr>
    </w:p>
    <w:p w14:paraId="1F867995">
      <w:pPr>
        <w:pStyle w:val="6"/>
      </w:pPr>
    </w:p>
    <w:p w14:paraId="6AFED4A7">
      <w:pPr>
        <w:pStyle w:val="6"/>
      </w:pPr>
    </w:p>
    <w:p w14:paraId="05C42DF1">
      <w:pPr>
        <w:pStyle w:val="6"/>
      </w:pPr>
    </w:p>
    <w:p w14:paraId="62EB2AFB">
      <w:pPr>
        <w:pStyle w:val="6"/>
      </w:pPr>
    </w:p>
    <w:p w14:paraId="12708DB7">
      <w:pPr>
        <w:pStyle w:val="6"/>
      </w:pPr>
    </w:p>
    <w:p w14:paraId="25CB739E">
      <w:pPr>
        <w:pStyle w:val="6"/>
      </w:pPr>
    </w:p>
    <w:p w14:paraId="22E83B20">
      <w:pPr>
        <w:widowControl/>
        <w:spacing w:before="100" w:beforeAutospacing="1" w:after="100" w:afterAutospacing="1"/>
        <w:jc w:val="left"/>
        <w:rPr>
          <w:rFonts w:ascii="宋体" w:hAnsi="宋体" w:eastAsia="宋体" w:cs="Times New Roman"/>
          <w:color w:val="000000" w:themeColor="text1"/>
          <w:kern w:val="0"/>
          <w:sz w:val="24"/>
          <w:szCs w:val="24"/>
          <w14:textFill>
            <w14:solidFill>
              <w14:schemeClr w14:val="tx1"/>
            </w14:solidFill>
          </w14:textFill>
        </w:rPr>
      </w:pPr>
    </w:p>
    <w:p w14:paraId="537A8E74">
      <w:pPr>
        <w:rPr>
          <w:rFonts w:hint="eastAsia" w:ascii="宋体" w:hAnsi="宋体" w:eastAsia="宋体" w:cs="Times New Roman"/>
          <w:b/>
          <w:bCs/>
          <w:color w:val="000000" w:themeColor="text1"/>
          <w:sz w:val="36"/>
          <w:szCs w:val="36"/>
          <w14:textFill>
            <w14:solidFill>
              <w14:schemeClr w14:val="tx1"/>
            </w14:solidFill>
          </w14:textFill>
        </w:rPr>
      </w:pPr>
      <w:r>
        <w:rPr>
          <w:rFonts w:hint="eastAsia" w:ascii="宋体" w:hAnsi="宋体" w:eastAsia="宋体" w:cs="Times New Roman"/>
          <w:b/>
          <w:bCs/>
          <w:color w:val="000000" w:themeColor="text1"/>
          <w:sz w:val="36"/>
          <w:szCs w:val="36"/>
          <w14:textFill>
            <w14:solidFill>
              <w14:schemeClr w14:val="tx1"/>
            </w14:solidFill>
          </w14:textFill>
        </w:rPr>
        <w:br w:type="page"/>
      </w:r>
    </w:p>
    <w:p w14:paraId="6E8A90D0">
      <w:pPr>
        <w:widowControl/>
        <w:jc w:val="center"/>
        <w:outlineLvl w:val="0"/>
        <w:rPr>
          <w:rFonts w:ascii="宋体" w:hAnsi="Calibri" w:eastAsia="宋体" w:cs="Times New Roman"/>
          <w:b/>
          <w:bCs/>
          <w:color w:val="000000" w:themeColor="text1"/>
          <w:sz w:val="36"/>
          <w:szCs w:val="36"/>
          <w14:textFill>
            <w14:solidFill>
              <w14:schemeClr w14:val="tx1"/>
            </w14:solidFill>
          </w14:textFill>
        </w:rPr>
      </w:pPr>
      <w:bookmarkStart w:id="2" w:name="_Toc1483"/>
      <w:r>
        <w:rPr>
          <w:rFonts w:hint="eastAsia" w:ascii="宋体" w:hAnsi="宋体" w:eastAsia="宋体" w:cs="Times New Roman"/>
          <w:b/>
          <w:bCs/>
          <w:color w:val="000000" w:themeColor="text1"/>
          <w:sz w:val="36"/>
          <w:szCs w:val="36"/>
          <w14:textFill>
            <w14:solidFill>
              <w14:schemeClr w14:val="tx1"/>
            </w14:solidFill>
          </w14:textFill>
        </w:rPr>
        <w:t>第二章  供应商须知</w:t>
      </w:r>
      <w:bookmarkEnd w:id="2"/>
    </w:p>
    <w:p w14:paraId="283E4F58">
      <w:pPr>
        <w:spacing w:line="360" w:lineRule="auto"/>
        <w:jc w:val="center"/>
        <w:outlineLvl w:val="1"/>
        <w:rPr>
          <w:rFonts w:ascii="宋体" w:hAnsi="Calibri" w:eastAsia="宋体" w:cs="Times New Roman"/>
          <w:color w:val="000000" w:themeColor="text1"/>
          <w:sz w:val="32"/>
          <w:szCs w:val="32"/>
          <w14:textFill>
            <w14:solidFill>
              <w14:schemeClr w14:val="tx1"/>
            </w14:solidFill>
          </w14:textFill>
        </w:rPr>
      </w:pPr>
      <w:bookmarkStart w:id="3" w:name="_Toc518571702"/>
      <w:bookmarkStart w:id="4" w:name="_Toc109675033"/>
      <w:bookmarkStart w:id="5" w:name="_Toc15166"/>
      <w:r>
        <w:rPr>
          <w:rFonts w:hint="eastAsia" w:ascii="宋体" w:hAnsi="宋体" w:eastAsia="宋体" w:cs="Times New Roman"/>
          <w:bCs/>
          <w:color w:val="000000" w:themeColor="text1"/>
          <w:sz w:val="28"/>
          <w:szCs w:val="28"/>
          <w14:textFill>
            <w14:solidFill>
              <w14:schemeClr w14:val="tx1"/>
            </w14:solidFill>
          </w14:textFill>
        </w:rPr>
        <w:t>须知前附表</w:t>
      </w:r>
      <w:bookmarkEnd w:id="3"/>
      <w:bookmarkEnd w:id="4"/>
      <w:bookmarkEnd w:id="5"/>
    </w:p>
    <w:tbl>
      <w:tblPr>
        <w:tblStyle w:val="12"/>
        <w:tblW w:w="921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93"/>
        <w:gridCol w:w="1701"/>
        <w:gridCol w:w="6520"/>
      </w:tblGrid>
      <w:tr w14:paraId="1F8A94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993" w:type="dxa"/>
            <w:tcBorders>
              <w:top w:val="single" w:color="auto" w:sz="12" w:space="0"/>
            </w:tcBorders>
            <w:vAlign w:val="center"/>
          </w:tcPr>
          <w:p w14:paraId="28321FD5">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项号</w:t>
            </w:r>
          </w:p>
        </w:tc>
        <w:tc>
          <w:tcPr>
            <w:tcW w:w="1701" w:type="dxa"/>
            <w:tcBorders>
              <w:top w:val="single" w:color="auto" w:sz="12" w:space="0"/>
            </w:tcBorders>
            <w:vAlign w:val="center"/>
          </w:tcPr>
          <w:p w14:paraId="33B5D293">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内容</w:t>
            </w:r>
          </w:p>
        </w:tc>
        <w:tc>
          <w:tcPr>
            <w:tcW w:w="6520" w:type="dxa"/>
            <w:tcBorders>
              <w:top w:val="single" w:color="auto" w:sz="12" w:space="0"/>
            </w:tcBorders>
            <w:vAlign w:val="center"/>
          </w:tcPr>
          <w:p w14:paraId="42B64499">
            <w:pPr>
              <w:widowControl/>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综合说明与要求</w:t>
            </w:r>
          </w:p>
        </w:tc>
      </w:tr>
      <w:tr w14:paraId="1B785B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47" w:hRule="atLeast"/>
          <w:jc w:val="center"/>
        </w:trPr>
        <w:tc>
          <w:tcPr>
            <w:tcW w:w="993" w:type="dxa"/>
            <w:vAlign w:val="center"/>
          </w:tcPr>
          <w:p w14:paraId="6916FDCC">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p>
        </w:tc>
        <w:tc>
          <w:tcPr>
            <w:tcW w:w="1701" w:type="dxa"/>
            <w:vAlign w:val="center"/>
          </w:tcPr>
          <w:p w14:paraId="6BDE7F09">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综合说明</w:t>
            </w:r>
          </w:p>
        </w:tc>
        <w:tc>
          <w:tcPr>
            <w:tcW w:w="6520" w:type="dxa"/>
            <w:vAlign w:val="center"/>
          </w:tcPr>
          <w:p w14:paraId="74258AA2">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项目名称：</w:t>
            </w:r>
            <w:r>
              <w:rPr>
                <w:rFonts w:hint="eastAsia" w:asciiTheme="minorEastAsia" w:hAnsiTheme="minorEastAsia" w:cstheme="minorEastAsia"/>
                <w:color w:val="000000" w:themeColor="text1"/>
                <w:sz w:val="28"/>
                <w:szCs w:val="28"/>
                <w:lang w:eastAsia="zh-CN"/>
                <w14:textFill>
                  <w14:solidFill>
                    <w14:schemeClr w14:val="tx1"/>
                  </w14:solidFill>
                </w14:textFill>
              </w:rPr>
              <w:t>2025年中国桨板超级联赛暨第三届“陕州·黄河杯”桨板挑战赛采购项目</w:t>
            </w:r>
          </w:p>
        </w:tc>
      </w:tr>
      <w:tr w14:paraId="1BA4F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6" w:hRule="atLeast"/>
          <w:jc w:val="center"/>
        </w:trPr>
        <w:tc>
          <w:tcPr>
            <w:tcW w:w="993" w:type="dxa"/>
            <w:vAlign w:val="center"/>
          </w:tcPr>
          <w:p w14:paraId="1D8D1A15">
            <w:pPr>
              <w:spacing w:line="360"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w:t>
            </w:r>
          </w:p>
        </w:tc>
        <w:tc>
          <w:tcPr>
            <w:tcW w:w="1701" w:type="dxa"/>
            <w:vAlign w:val="center"/>
          </w:tcPr>
          <w:p w14:paraId="0C1AAA7B">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项目编号</w:t>
            </w:r>
          </w:p>
        </w:tc>
        <w:tc>
          <w:tcPr>
            <w:tcW w:w="6520" w:type="dxa"/>
            <w:vAlign w:val="center"/>
          </w:tcPr>
          <w:p w14:paraId="4BB3C858">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宋体" w:hAnsi="宋体" w:eastAsia="宋体" w:cs="Times New Roman"/>
                <w:sz w:val="28"/>
                <w:szCs w:val="28"/>
                <w:lang w:eastAsia="zh-CN"/>
              </w:rPr>
              <w:t>陕州竞磋采购</w:t>
            </w:r>
            <w:r>
              <w:rPr>
                <w:rFonts w:hint="eastAsia" w:ascii="宋体" w:hAnsi="宋体" w:eastAsia="宋体" w:cs="Times New Roman"/>
                <w:sz w:val="28"/>
                <w:szCs w:val="28"/>
                <w:lang w:val="en-US" w:eastAsia="zh-CN"/>
              </w:rPr>
              <w:t>-2025-11、SZGZ【2025】019-ZC014</w:t>
            </w:r>
          </w:p>
        </w:tc>
      </w:tr>
      <w:tr w14:paraId="1964BD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jc w:val="center"/>
        </w:trPr>
        <w:tc>
          <w:tcPr>
            <w:tcW w:w="993" w:type="dxa"/>
            <w:vAlign w:val="center"/>
          </w:tcPr>
          <w:p w14:paraId="286673CD">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w:t>
            </w:r>
          </w:p>
        </w:tc>
        <w:tc>
          <w:tcPr>
            <w:tcW w:w="1701" w:type="dxa"/>
            <w:vAlign w:val="center"/>
          </w:tcPr>
          <w:p w14:paraId="0937AC31">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采购单位</w:t>
            </w:r>
          </w:p>
        </w:tc>
        <w:tc>
          <w:tcPr>
            <w:tcW w:w="6520" w:type="dxa"/>
            <w:vAlign w:val="center"/>
          </w:tcPr>
          <w:p w14:paraId="7C13A82E">
            <w:pPr>
              <w:spacing w:line="360" w:lineRule="auto"/>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三门峡市陕州区教育体育局</w:t>
            </w:r>
          </w:p>
        </w:tc>
      </w:tr>
      <w:tr w14:paraId="329E0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2" w:hRule="atLeast"/>
          <w:jc w:val="center"/>
        </w:trPr>
        <w:tc>
          <w:tcPr>
            <w:tcW w:w="993" w:type="dxa"/>
            <w:vAlign w:val="center"/>
          </w:tcPr>
          <w:p w14:paraId="16AD2DB9">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w:t>
            </w:r>
          </w:p>
        </w:tc>
        <w:tc>
          <w:tcPr>
            <w:tcW w:w="1701" w:type="dxa"/>
            <w:vAlign w:val="center"/>
          </w:tcPr>
          <w:p w14:paraId="0DE0AE09">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采购</w:t>
            </w:r>
            <w:r>
              <w:rPr>
                <w:rFonts w:hint="eastAsia" w:asciiTheme="minorEastAsia" w:hAnsiTheme="minorEastAsia" w:cstheme="minorEastAsia"/>
                <w:color w:val="000000" w:themeColor="text1"/>
                <w:sz w:val="28"/>
                <w:szCs w:val="28"/>
                <w14:textFill>
                  <w14:solidFill>
                    <w14:schemeClr w14:val="tx1"/>
                  </w14:solidFill>
                </w14:textFill>
              </w:rPr>
              <w:t>内容</w:t>
            </w:r>
          </w:p>
        </w:tc>
        <w:tc>
          <w:tcPr>
            <w:tcW w:w="6520" w:type="dxa"/>
            <w:vAlign w:val="center"/>
          </w:tcPr>
          <w:p w14:paraId="1443F034">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采购赛事组织、器材和赛事物料等，</w:t>
            </w:r>
            <w:r>
              <w:rPr>
                <w:rFonts w:hint="eastAsia" w:asciiTheme="minorEastAsia" w:hAnsiTheme="minorEastAsia" w:cstheme="minorEastAsia"/>
                <w:color w:val="000000" w:themeColor="text1"/>
                <w:sz w:val="28"/>
                <w:szCs w:val="28"/>
                <w14:textFill>
                  <w14:solidFill>
                    <w14:schemeClr w14:val="tx1"/>
                  </w14:solidFill>
                </w14:textFill>
              </w:rPr>
              <w:t>具体技术要求及相关内容详见竞争性磋商文件。</w:t>
            </w:r>
          </w:p>
        </w:tc>
      </w:tr>
      <w:tr w14:paraId="792D85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45F9846E">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5</w:t>
            </w:r>
          </w:p>
        </w:tc>
        <w:tc>
          <w:tcPr>
            <w:tcW w:w="1701" w:type="dxa"/>
            <w:vAlign w:val="center"/>
          </w:tcPr>
          <w:p w14:paraId="7278C3E4">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质量要求</w:t>
            </w:r>
          </w:p>
        </w:tc>
        <w:tc>
          <w:tcPr>
            <w:tcW w:w="6520" w:type="dxa"/>
            <w:vAlign w:val="center"/>
          </w:tcPr>
          <w:p w14:paraId="566A7C96">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合格。</w:t>
            </w:r>
          </w:p>
        </w:tc>
      </w:tr>
      <w:tr w14:paraId="5B4E6A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2" w:hRule="atLeast"/>
          <w:jc w:val="center"/>
        </w:trPr>
        <w:tc>
          <w:tcPr>
            <w:tcW w:w="993" w:type="dxa"/>
            <w:vAlign w:val="center"/>
          </w:tcPr>
          <w:p w14:paraId="10895237">
            <w:pPr>
              <w:adjustRightInd w:val="0"/>
              <w:spacing w:line="324" w:lineRule="auto"/>
              <w:jc w:val="center"/>
              <w:rPr>
                <w:rFonts w:hint="default" w:asciiTheme="minorEastAsia" w:hAnsi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6</w:t>
            </w:r>
          </w:p>
        </w:tc>
        <w:tc>
          <w:tcPr>
            <w:tcW w:w="1701" w:type="dxa"/>
            <w:vAlign w:val="center"/>
          </w:tcPr>
          <w:p w14:paraId="69DDF7EC">
            <w:pPr>
              <w:spacing w:line="360" w:lineRule="auto"/>
              <w:jc w:val="center"/>
              <w:rPr>
                <w:rFonts w:hint="eastAsia" w:asciiTheme="minorEastAsia" w:hAnsiTheme="minorEastAsia" w:eastAsia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服务期</w:t>
            </w:r>
          </w:p>
        </w:tc>
        <w:tc>
          <w:tcPr>
            <w:tcW w:w="6520" w:type="dxa"/>
            <w:vAlign w:val="center"/>
          </w:tcPr>
          <w:p w14:paraId="7E9C6BC3">
            <w:pPr>
              <w:spacing w:line="360" w:lineRule="auto"/>
              <w:rPr>
                <w:rFonts w:hint="eastAsia" w:asciiTheme="minorEastAsia" w:hAnsiTheme="minorEastAsia" w:cstheme="minorEastAsia"/>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32"/>
                <w:lang w:val="en-US" w:eastAsia="zh-Hans"/>
                <w14:textFill>
                  <w14:solidFill>
                    <w14:schemeClr w14:val="tx1"/>
                  </w14:solidFill>
                </w14:textFill>
              </w:rPr>
              <w:t>自合同签署生效之日起至本项目工作全部结束止</w:t>
            </w:r>
          </w:p>
        </w:tc>
      </w:tr>
      <w:tr w14:paraId="7BC55F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993" w:type="dxa"/>
            <w:vAlign w:val="center"/>
          </w:tcPr>
          <w:p w14:paraId="685D3393">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7</w:t>
            </w:r>
          </w:p>
        </w:tc>
        <w:tc>
          <w:tcPr>
            <w:tcW w:w="1701" w:type="dxa"/>
            <w:vAlign w:val="center"/>
          </w:tcPr>
          <w:p w14:paraId="34450A31">
            <w:pPr>
              <w:spacing w:line="360"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资金来源</w:t>
            </w:r>
          </w:p>
        </w:tc>
        <w:tc>
          <w:tcPr>
            <w:tcW w:w="6520" w:type="dxa"/>
            <w:vAlign w:val="center"/>
          </w:tcPr>
          <w:p w14:paraId="67A094C6">
            <w:pPr>
              <w:spacing w:line="360" w:lineRule="auto"/>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财政资金，已落实</w:t>
            </w:r>
          </w:p>
        </w:tc>
      </w:tr>
      <w:tr w14:paraId="7E3A22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4" w:hRule="atLeast"/>
          <w:jc w:val="center"/>
        </w:trPr>
        <w:tc>
          <w:tcPr>
            <w:tcW w:w="993" w:type="dxa"/>
            <w:vAlign w:val="center"/>
          </w:tcPr>
          <w:p w14:paraId="3AFC698F">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8</w:t>
            </w:r>
          </w:p>
        </w:tc>
        <w:tc>
          <w:tcPr>
            <w:tcW w:w="1701" w:type="dxa"/>
            <w:vAlign w:val="center"/>
          </w:tcPr>
          <w:p w14:paraId="09CFD9F5">
            <w:pPr>
              <w:adjustRightInd w:val="0"/>
              <w:spacing w:line="324" w:lineRule="auto"/>
              <w:jc w:val="center"/>
              <w:rPr>
                <w:rFonts w:asciiTheme="minorEastAsia" w:hAnsiTheme="minorEastAsia" w:cstheme="minorEastAsia"/>
                <w:color w:val="000000" w:themeColor="text1"/>
                <w:spacing w:val="-40"/>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磋商供应商资格要求</w:t>
            </w:r>
          </w:p>
        </w:tc>
        <w:tc>
          <w:tcPr>
            <w:tcW w:w="6520" w:type="dxa"/>
            <w:vAlign w:val="center"/>
          </w:tcPr>
          <w:p w14:paraId="61A48674">
            <w:pPr>
              <w:spacing w:line="360" w:lineRule="auto"/>
              <w:ind w:firstLine="584" w:firstLineChars="20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spacing w:val="6"/>
                <w:sz w:val="28"/>
                <w:szCs w:val="28"/>
              </w:rPr>
              <w:t>供应商参加本次政府采购活动中必须符合《中华人民共和国政府采购法》第二十二条同时具备以下条</w:t>
            </w:r>
            <w:r>
              <w:rPr>
                <w:rFonts w:hint="eastAsia" w:asciiTheme="minorEastAsia" w:hAnsiTheme="minorEastAsia" w:cstheme="minorEastAsia"/>
                <w:color w:val="000000" w:themeColor="text1"/>
                <w:spacing w:val="6"/>
                <w:sz w:val="28"/>
                <w:szCs w:val="28"/>
                <w14:textFill>
                  <w14:solidFill>
                    <w14:schemeClr w14:val="tx1"/>
                  </w14:solidFill>
                </w14:textFill>
              </w:rPr>
              <w:t>件：</w:t>
            </w:r>
          </w:p>
          <w:p w14:paraId="7491853C">
            <w:pPr>
              <w:spacing w:line="360" w:lineRule="auto"/>
              <w:ind w:firstLine="584" w:firstLineChars="20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1、投标供应商须具有合法有效的营业执照；</w:t>
            </w:r>
          </w:p>
          <w:p w14:paraId="02F43439">
            <w:pPr>
              <w:spacing w:line="360" w:lineRule="auto"/>
              <w:ind w:firstLine="584" w:firstLineChars="20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2、供应商须承诺本企业无商业贿赂和不正当竞争行为。</w:t>
            </w:r>
          </w:p>
          <w:p w14:paraId="438AC188">
            <w:pPr>
              <w:spacing w:line="360" w:lineRule="auto"/>
              <w:ind w:firstLine="584" w:firstLineChars="20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p w14:paraId="727281AB">
            <w:pPr>
              <w:widowControl/>
              <w:spacing w:line="360" w:lineRule="auto"/>
              <w:ind w:firstLine="438" w:firstLineChars="15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4、本项目不接受联合体投标。提供非联合体承诺，格式自拟。</w:t>
            </w:r>
          </w:p>
        </w:tc>
      </w:tr>
      <w:tr w14:paraId="20EE60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3F7C280">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9</w:t>
            </w:r>
          </w:p>
        </w:tc>
        <w:tc>
          <w:tcPr>
            <w:tcW w:w="1701" w:type="dxa"/>
            <w:vAlign w:val="center"/>
          </w:tcPr>
          <w:p w14:paraId="68FFE2B3">
            <w:pPr>
              <w:adjustRightInd w:val="0"/>
              <w:spacing w:line="324" w:lineRule="auto"/>
              <w:jc w:val="cente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竞争性磋商有效</w:t>
            </w:r>
            <w:r>
              <w:rPr>
                <w:rFonts w:hint="eastAsia" w:asciiTheme="minorEastAsia" w:hAnsiTheme="minorEastAsia" w:cstheme="minorEastAsia"/>
                <w:color w:val="000000" w:themeColor="text1"/>
                <w:sz w:val="28"/>
                <w:szCs w:val="28"/>
                <w14:textFill>
                  <w14:solidFill>
                    <w14:schemeClr w14:val="tx1"/>
                  </w14:solidFill>
                </w14:textFill>
              </w:rPr>
              <w:t>期</w:t>
            </w:r>
          </w:p>
        </w:tc>
        <w:tc>
          <w:tcPr>
            <w:tcW w:w="6520" w:type="dxa"/>
            <w:vAlign w:val="center"/>
          </w:tcPr>
          <w:p w14:paraId="5C8E6C71">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60日历天(从磋商截止之日算起)</w:t>
            </w:r>
          </w:p>
        </w:tc>
      </w:tr>
      <w:tr w14:paraId="342130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jc w:val="center"/>
        </w:trPr>
        <w:tc>
          <w:tcPr>
            <w:tcW w:w="993" w:type="dxa"/>
            <w:vAlign w:val="center"/>
          </w:tcPr>
          <w:p w14:paraId="63D3E344">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10</w:t>
            </w:r>
          </w:p>
        </w:tc>
        <w:tc>
          <w:tcPr>
            <w:tcW w:w="1701" w:type="dxa"/>
            <w:vAlign w:val="center"/>
          </w:tcPr>
          <w:p w14:paraId="300E4F49">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竞争性磋商保证金</w:t>
            </w:r>
          </w:p>
        </w:tc>
        <w:tc>
          <w:tcPr>
            <w:tcW w:w="6520" w:type="dxa"/>
            <w:vAlign w:val="center"/>
          </w:tcPr>
          <w:p w14:paraId="349B8479">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根据《河南省财政厅关于优化政府采购营商环境有关问题的通知》（豫财购【2019】4号）第6条的规定，磋商保证金不再收取，需提供磋商承诺函。</w:t>
            </w:r>
          </w:p>
        </w:tc>
      </w:tr>
      <w:tr w14:paraId="7E5A0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6" w:hRule="atLeast"/>
          <w:jc w:val="center"/>
        </w:trPr>
        <w:tc>
          <w:tcPr>
            <w:tcW w:w="993" w:type="dxa"/>
            <w:vAlign w:val="center"/>
          </w:tcPr>
          <w:p w14:paraId="7BF0C0FB">
            <w:pPr>
              <w:adjustRightInd w:val="0"/>
              <w:spacing w:line="324" w:lineRule="auto"/>
              <w:jc w:val="cente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1</w:t>
            </w:r>
          </w:p>
        </w:tc>
        <w:tc>
          <w:tcPr>
            <w:tcW w:w="1701" w:type="dxa"/>
            <w:vAlign w:val="center"/>
          </w:tcPr>
          <w:p w14:paraId="341B9A5A">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付款方式</w:t>
            </w:r>
          </w:p>
        </w:tc>
        <w:tc>
          <w:tcPr>
            <w:tcW w:w="6520" w:type="dxa"/>
            <w:vAlign w:val="center"/>
          </w:tcPr>
          <w:p w14:paraId="3E894FF5">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双方协商</w:t>
            </w:r>
          </w:p>
        </w:tc>
      </w:tr>
      <w:tr w14:paraId="0537F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993" w:type="dxa"/>
            <w:vAlign w:val="center"/>
          </w:tcPr>
          <w:p w14:paraId="745AECB6">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2</w:t>
            </w:r>
          </w:p>
        </w:tc>
        <w:tc>
          <w:tcPr>
            <w:tcW w:w="1701" w:type="dxa"/>
            <w:vAlign w:val="center"/>
          </w:tcPr>
          <w:p w14:paraId="4E2895E7">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竞争性磋商响应文件份数</w:t>
            </w:r>
          </w:p>
        </w:tc>
        <w:tc>
          <w:tcPr>
            <w:tcW w:w="6520" w:type="dxa"/>
            <w:vAlign w:val="center"/>
          </w:tcPr>
          <w:p w14:paraId="6B31D705">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本项目为电子化、无纸化交易项目。（不适用）</w:t>
            </w:r>
          </w:p>
        </w:tc>
      </w:tr>
      <w:tr w14:paraId="6C6521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7132CE00">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3</w:t>
            </w:r>
          </w:p>
        </w:tc>
        <w:tc>
          <w:tcPr>
            <w:tcW w:w="1701" w:type="dxa"/>
            <w:vAlign w:val="center"/>
          </w:tcPr>
          <w:p w14:paraId="7295450A">
            <w:pPr>
              <w:adjustRightInd w:val="0"/>
              <w:spacing w:line="324" w:lineRule="auto"/>
              <w:jc w:val="lef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磋商响应文件递交截止时间</w:t>
            </w:r>
          </w:p>
        </w:tc>
        <w:tc>
          <w:tcPr>
            <w:tcW w:w="6520" w:type="dxa"/>
            <w:vAlign w:val="center"/>
          </w:tcPr>
          <w:p w14:paraId="52D35270">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kern w:val="0"/>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202</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5</w:t>
            </w:r>
            <w:r>
              <w:rPr>
                <w:rFonts w:hint="eastAsia" w:asciiTheme="minorEastAsia" w:hAnsiTheme="minorEastAsia" w:cstheme="minorEastAsia"/>
                <w:bCs/>
                <w:color w:val="000000" w:themeColor="text1"/>
                <w:kern w:val="0"/>
                <w:sz w:val="28"/>
                <w:szCs w:val="28"/>
                <w14:textFill>
                  <w14:solidFill>
                    <w14:schemeClr w14:val="tx1"/>
                  </w14:solidFill>
                </w14:textFill>
              </w:rPr>
              <w:t>年</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4</w:t>
            </w:r>
            <w:r>
              <w:rPr>
                <w:rFonts w:hint="eastAsia" w:asciiTheme="minorEastAsia" w:hAnsiTheme="minorEastAsia" w:cstheme="minorEastAsia"/>
                <w:bCs/>
                <w:color w:val="000000" w:themeColor="text1"/>
                <w:kern w:val="0"/>
                <w:sz w:val="28"/>
                <w:szCs w:val="28"/>
                <w14:textFill>
                  <w14:solidFill>
                    <w14:schemeClr w14:val="tx1"/>
                  </w14:solidFill>
                </w14:textFill>
              </w:rPr>
              <w:t>月</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3</w:t>
            </w:r>
            <w:r>
              <w:rPr>
                <w:rFonts w:hint="eastAsia" w:asciiTheme="minorEastAsia" w:hAnsiTheme="minorEastAsia" w:cstheme="minorEastAsia"/>
                <w:bCs/>
                <w:color w:val="000000" w:themeColor="text1"/>
                <w:kern w:val="0"/>
                <w:sz w:val="28"/>
                <w:szCs w:val="28"/>
                <w14:textFill>
                  <w14:solidFill>
                    <w14:schemeClr w14:val="tx1"/>
                  </w14:solidFill>
                </w14:textFill>
              </w:rPr>
              <w:t>日0</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8</w:t>
            </w:r>
            <w:r>
              <w:rPr>
                <w:rFonts w:hint="eastAsia" w:asciiTheme="minorEastAsia" w:hAnsiTheme="minorEastAsia" w:cstheme="minorEastAsia"/>
                <w:bCs/>
                <w:color w:val="000000" w:themeColor="text1"/>
                <w:kern w:val="0"/>
                <w:sz w:val="28"/>
                <w:szCs w:val="28"/>
                <w14:textFill>
                  <w14:solidFill>
                    <w14:schemeClr w14:val="tx1"/>
                  </w14:solidFill>
                </w14:textFill>
              </w:rPr>
              <w:t>时30分</w:t>
            </w:r>
          </w:p>
        </w:tc>
      </w:tr>
      <w:tr w14:paraId="13D760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5" w:hRule="atLeast"/>
          <w:jc w:val="center"/>
        </w:trPr>
        <w:tc>
          <w:tcPr>
            <w:tcW w:w="993" w:type="dxa"/>
            <w:vAlign w:val="center"/>
          </w:tcPr>
          <w:p w14:paraId="436F83F5">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4</w:t>
            </w:r>
          </w:p>
        </w:tc>
        <w:tc>
          <w:tcPr>
            <w:tcW w:w="1701" w:type="dxa"/>
            <w:vAlign w:val="center"/>
          </w:tcPr>
          <w:p w14:paraId="040CD424">
            <w:pPr>
              <w:adjustRightInd w:val="0"/>
              <w:spacing w:line="324" w:lineRule="auto"/>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磋商响应文件递交</w:t>
            </w:r>
          </w:p>
        </w:tc>
        <w:tc>
          <w:tcPr>
            <w:tcW w:w="6520" w:type="dxa"/>
            <w:vAlign w:val="center"/>
          </w:tcPr>
          <w:p w14:paraId="197F6C4E">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电子竞争性响应文件的电子版用企业和法人CA数字证书在磋商截止时间前上传至“三门峡市公共资源交易中心网站”。</w:t>
            </w:r>
          </w:p>
        </w:tc>
      </w:tr>
      <w:tr w14:paraId="39B562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3F6A4D12">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5</w:t>
            </w:r>
          </w:p>
        </w:tc>
        <w:tc>
          <w:tcPr>
            <w:tcW w:w="1701" w:type="dxa"/>
            <w:vAlign w:val="center"/>
          </w:tcPr>
          <w:p w14:paraId="4FA35ABD">
            <w:pPr>
              <w:adjustRightInd w:val="0"/>
              <w:spacing w:line="324" w:lineRule="auto"/>
              <w:jc w:val="center"/>
              <w:rPr>
                <w:rFonts w:asciiTheme="minorEastAsia" w:hAnsiTheme="minorEastAsia" w:cstheme="minorEastAsia"/>
                <w:color w:val="000000" w:themeColor="text1"/>
                <w:spacing w:val="-10"/>
                <w:sz w:val="28"/>
                <w:szCs w:val="28"/>
                <w14:textFill>
                  <w14:solidFill>
                    <w14:schemeClr w14:val="tx1"/>
                  </w14:solidFill>
                </w14:textFill>
              </w:rPr>
            </w:pPr>
            <w:r>
              <w:rPr>
                <w:rFonts w:hint="eastAsia" w:asciiTheme="minorEastAsia" w:hAnsiTheme="minorEastAsia" w:cstheme="minorEastAsia"/>
                <w:color w:val="000000" w:themeColor="text1"/>
                <w:spacing w:val="-10"/>
                <w:sz w:val="28"/>
                <w:szCs w:val="28"/>
                <w14:textFill>
                  <w14:solidFill>
                    <w14:schemeClr w14:val="tx1"/>
                  </w14:solidFill>
                </w14:textFill>
              </w:rPr>
              <w:t>磋商时间及地点</w:t>
            </w:r>
          </w:p>
        </w:tc>
        <w:tc>
          <w:tcPr>
            <w:tcW w:w="6520" w:type="dxa"/>
            <w:vAlign w:val="center"/>
          </w:tcPr>
          <w:p w14:paraId="186CA947">
            <w:pPr>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时间：</w:t>
            </w:r>
            <w:r>
              <w:rPr>
                <w:rFonts w:hint="eastAsia" w:asciiTheme="minorEastAsia" w:hAnsiTheme="minorEastAsia" w:cstheme="minorEastAsia"/>
                <w:bCs/>
                <w:color w:val="000000" w:themeColor="text1"/>
                <w:kern w:val="0"/>
                <w:sz w:val="28"/>
                <w:szCs w:val="28"/>
                <w14:textFill>
                  <w14:solidFill>
                    <w14:schemeClr w14:val="tx1"/>
                  </w14:solidFill>
                </w14:textFill>
              </w:rPr>
              <w:t>202</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5</w:t>
            </w:r>
            <w:r>
              <w:rPr>
                <w:rFonts w:hint="eastAsia" w:asciiTheme="minorEastAsia" w:hAnsiTheme="minorEastAsia" w:cstheme="minorEastAsia"/>
                <w:bCs/>
                <w:color w:val="000000" w:themeColor="text1"/>
                <w:kern w:val="0"/>
                <w:sz w:val="28"/>
                <w:szCs w:val="28"/>
                <w14:textFill>
                  <w14:solidFill>
                    <w14:schemeClr w14:val="tx1"/>
                  </w14:solidFill>
                </w14:textFill>
              </w:rPr>
              <w:t>年</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4</w:t>
            </w:r>
            <w:r>
              <w:rPr>
                <w:rFonts w:hint="eastAsia" w:asciiTheme="minorEastAsia" w:hAnsiTheme="minorEastAsia" w:cstheme="minorEastAsia"/>
                <w:bCs/>
                <w:color w:val="000000" w:themeColor="text1"/>
                <w:kern w:val="0"/>
                <w:sz w:val="28"/>
                <w:szCs w:val="28"/>
                <w14:textFill>
                  <w14:solidFill>
                    <w14:schemeClr w14:val="tx1"/>
                  </w14:solidFill>
                </w14:textFill>
              </w:rPr>
              <w:t>月</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3</w:t>
            </w:r>
            <w:r>
              <w:rPr>
                <w:rFonts w:hint="eastAsia" w:asciiTheme="minorEastAsia" w:hAnsiTheme="minorEastAsia" w:cstheme="minorEastAsia"/>
                <w:bCs/>
                <w:color w:val="000000" w:themeColor="text1"/>
                <w:kern w:val="0"/>
                <w:sz w:val="28"/>
                <w:szCs w:val="28"/>
                <w14:textFill>
                  <w14:solidFill>
                    <w14:schemeClr w14:val="tx1"/>
                  </w14:solidFill>
                </w14:textFill>
              </w:rPr>
              <w:t>日0</w:t>
            </w:r>
            <w:r>
              <w:rPr>
                <w:rFonts w:hint="eastAsia" w:asciiTheme="minorEastAsia" w:hAnsiTheme="minorEastAsia" w:cstheme="minorEastAsia"/>
                <w:bCs/>
                <w:color w:val="000000" w:themeColor="text1"/>
                <w:kern w:val="0"/>
                <w:sz w:val="28"/>
                <w:szCs w:val="28"/>
                <w:lang w:val="en-US" w:eastAsia="zh-CN"/>
                <w14:textFill>
                  <w14:solidFill>
                    <w14:schemeClr w14:val="tx1"/>
                  </w14:solidFill>
                </w14:textFill>
              </w:rPr>
              <w:t>8</w:t>
            </w:r>
            <w:r>
              <w:rPr>
                <w:rFonts w:hint="eastAsia" w:asciiTheme="minorEastAsia" w:hAnsiTheme="minorEastAsia" w:cstheme="minorEastAsia"/>
                <w:bCs/>
                <w:color w:val="000000" w:themeColor="text1"/>
                <w:kern w:val="0"/>
                <w:sz w:val="28"/>
                <w:szCs w:val="28"/>
                <w14:textFill>
                  <w14:solidFill>
                    <w14:schemeClr w14:val="tx1"/>
                  </w14:solidFill>
                </w14:textFill>
              </w:rPr>
              <w:t>时30分</w:t>
            </w:r>
          </w:p>
          <w:p w14:paraId="56E9E42F">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地点：三门峡市陕州区公共资源交易中心开标室</w:t>
            </w:r>
          </w:p>
        </w:tc>
      </w:tr>
      <w:tr w14:paraId="6AE4D8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74" w:hRule="atLeast"/>
          <w:jc w:val="center"/>
        </w:trPr>
        <w:tc>
          <w:tcPr>
            <w:tcW w:w="993" w:type="dxa"/>
            <w:vAlign w:val="center"/>
          </w:tcPr>
          <w:p w14:paraId="30539C77">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6</w:t>
            </w:r>
          </w:p>
        </w:tc>
        <w:tc>
          <w:tcPr>
            <w:tcW w:w="1701" w:type="dxa"/>
            <w:vAlign w:val="center"/>
          </w:tcPr>
          <w:p w14:paraId="5A120650">
            <w:pPr>
              <w:spacing w:line="440" w:lineRule="exact"/>
              <w:jc w:val="cente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磋商小组的组建</w:t>
            </w:r>
          </w:p>
        </w:tc>
        <w:tc>
          <w:tcPr>
            <w:tcW w:w="6520" w:type="dxa"/>
            <w:vAlign w:val="center"/>
          </w:tcPr>
          <w:p w14:paraId="5AC4072D">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磋商小组成员为3人，采购人代表1人，其余专家2人从河南省政府采购评审专家库中随机抽取。</w:t>
            </w:r>
          </w:p>
        </w:tc>
      </w:tr>
      <w:tr w14:paraId="1D3AED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993" w:type="dxa"/>
            <w:vAlign w:val="center"/>
          </w:tcPr>
          <w:p w14:paraId="50093655">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7</w:t>
            </w:r>
          </w:p>
        </w:tc>
        <w:tc>
          <w:tcPr>
            <w:tcW w:w="1701" w:type="dxa"/>
            <w:vAlign w:val="center"/>
          </w:tcPr>
          <w:p w14:paraId="578E78FB">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磋商标准及方法</w:t>
            </w:r>
          </w:p>
        </w:tc>
        <w:tc>
          <w:tcPr>
            <w:tcW w:w="6520" w:type="dxa"/>
            <w:vAlign w:val="center"/>
          </w:tcPr>
          <w:p w14:paraId="237CEF70">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由磋商小组采用综合评分法对提交最后报价的磋商供应商的磋商响应文件和最后报价进行综合评分。综合评分法，是指磋商响应文件满足竞争性磋商文件全部实质性要求且按评审因素的量化指标评审得分最高的供应商为成交候选供应商的磋商方法。</w:t>
            </w:r>
          </w:p>
        </w:tc>
      </w:tr>
      <w:tr w14:paraId="4F1D9D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993" w:type="dxa"/>
            <w:vAlign w:val="center"/>
          </w:tcPr>
          <w:p w14:paraId="2AEEF409">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8</w:t>
            </w:r>
          </w:p>
        </w:tc>
        <w:tc>
          <w:tcPr>
            <w:tcW w:w="1701" w:type="dxa"/>
            <w:vAlign w:val="center"/>
          </w:tcPr>
          <w:p w14:paraId="1599FC39">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履约保证金</w:t>
            </w:r>
          </w:p>
        </w:tc>
        <w:tc>
          <w:tcPr>
            <w:tcW w:w="6520" w:type="dxa"/>
            <w:vAlign w:val="center"/>
          </w:tcPr>
          <w:p w14:paraId="350E1269">
            <w:pPr>
              <w:widowControl/>
              <w:spacing w:line="400" w:lineRule="atLeast"/>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无</w:t>
            </w:r>
          </w:p>
        </w:tc>
      </w:tr>
      <w:tr w14:paraId="093C47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09" w:hRule="atLeast"/>
          <w:jc w:val="center"/>
        </w:trPr>
        <w:tc>
          <w:tcPr>
            <w:tcW w:w="993" w:type="dxa"/>
            <w:vAlign w:val="center"/>
          </w:tcPr>
          <w:p w14:paraId="5574AED9">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19</w:t>
            </w:r>
          </w:p>
        </w:tc>
        <w:tc>
          <w:tcPr>
            <w:tcW w:w="1701" w:type="dxa"/>
            <w:vAlign w:val="center"/>
          </w:tcPr>
          <w:p w14:paraId="003685D7">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预算价</w:t>
            </w:r>
          </w:p>
        </w:tc>
        <w:tc>
          <w:tcPr>
            <w:tcW w:w="6520" w:type="dxa"/>
            <w:vAlign w:val="center"/>
          </w:tcPr>
          <w:p w14:paraId="1C20A2FA">
            <w:pPr>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本项目预算价：</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1918000</w:t>
            </w:r>
            <w:r>
              <w:rPr>
                <w:rFonts w:hint="eastAsia" w:asciiTheme="minorEastAsia" w:hAnsiTheme="minorEastAsia" w:cstheme="minorEastAsia"/>
                <w:color w:val="000000" w:themeColor="text1"/>
                <w:spacing w:val="6"/>
                <w:sz w:val="28"/>
                <w:szCs w:val="28"/>
                <w14:textFill>
                  <w14:solidFill>
                    <w14:schemeClr w14:val="tx1"/>
                  </w14:solidFill>
                </w14:textFill>
              </w:rPr>
              <w:t>.00元</w:t>
            </w:r>
          </w:p>
          <w:p w14:paraId="5C00A548">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磋商供应商磋商报价超出“预算价”的，该磋商供应商按无效处理。</w:t>
            </w:r>
          </w:p>
        </w:tc>
      </w:tr>
      <w:tr w14:paraId="6355B8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8" w:hRule="atLeast"/>
          <w:jc w:val="center"/>
        </w:trPr>
        <w:tc>
          <w:tcPr>
            <w:tcW w:w="993" w:type="dxa"/>
            <w:vAlign w:val="center"/>
          </w:tcPr>
          <w:p w14:paraId="33D97DC0">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20</w:t>
            </w:r>
          </w:p>
        </w:tc>
        <w:tc>
          <w:tcPr>
            <w:tcW w:w="1701" w:type="dxa"/>
            <w:vAlign w:val="center"/>
          </w:tcPr>
          <w:p w14:paraId="1616A0A3">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报价</w:t>
            </w:r>
          </w:p>
        </w:tc>
        <w:tc>
          <w:tcPr>
            <w:tcW w:w="6520" w:type="dxa"/>
            <w:vAlign w:val="center"/>
          </w:tcPr>
          <w:p w14:paraId="728DDA2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本次磋商应以人民币报价，分两次进行报价。</w:t>
            </w:r>
          </w:p>
        </w:tc>
      </w:tr>
      <w:tr w14:paraId="49878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1424060A">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1</w:t>
            </w:r>
          </w:p>
        </w:tc>
        <w:tc>
          <w:tcPr>
            <w:tcW w:w="1701" w:type="dxa"/>
            <w:vAlign w:val="center"/>
          </w:tcPr>
          <w:p w14:paraId="284E33E4">
            <w:pPr>
              <w:adjustRightInd w:val="0"/>
              <w:spacing w:line="324" w:lineRule="auto"/>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电子化注意事项</w:t>
            </w:r>
          </w:p>
        </w:tc>
        <w:tc>
          <w:tcPr>
            <w:tcW w:w="6520" w:type="dxa"/>
            <w:vAlign w:val="center"/>
          </w:tcPr>
          <w:p w14:paraId="2EFE39AF">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具体要求：本项目为电子化、无纸化交易项目，响应文件是响应人、供应商（以下简称“响应人”）通过中心响应文件制作系统制作，并经过签章和加密后生成的电子版响应文件。</w:t>
            </w:r>
          </w:p>
          <w:p w14:paraId="5397F281">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电子化响应文件具体制作文件请点击https://download.bqpoint.com/download/downloadlist.html?SoftTypeCode=06进行下载。</w:t>
            </w:r>
          </w:p>
          <w:p w14:paraId="5917E1F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温馨提示：本项目为电子化、无纸化交易项目，为保证您能投标成功，请需仔细阅读以下条款。</w:t>
            </w:r>
          </w:p>
          <w:p w14:paraId="45D3102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一、电子化投标</w:t>
            </w:r>
          </w:p>
          <w:p w14:paraId="42241CC4">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（一）电子化响应文件的签章</w:t>
            </w:r>
          </w:p>
          <w:p w14:paraId="6594BAA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1、响应人在生成电子化响应文件后，应对电子化响应文件进行签章，未进行签章的视为无效投标。</w:t>
            </w:r>
          </w:p>
          <w:p w14:paraId="558937A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2、竞争性磋商文件中要求法定代表人或授权委托人签字或盖章的，响应人在进行电子化响应文件签章时，以签盖法定代表人签章为准。</w:t>
            </w:r>
          </w:p>
          <w:p w14:paraId="6836033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（二）电子化响应文件的格式及上传投标</w:t>
            </w:r>
          </w:p>
          <w:p w14:paraId="077CA35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响应人所上传的电子化响应文件，应是通过中心响应文件制作系统制作的（响应文件制作工具下载地址：https://download.bqpoint.com/download/downloadlist.html?SoftTypeCode=06），经过签章和加密后生成的电子版响应文件。其中包含用于响应文件上传的主文件（后缀为.smxtf）和用于应急补救的响应文件备份文件（后缀为.nsmxtf）。备份文件主要用于电子化开标出现技术问题后的补救，请投标人随身携带。</w:t>
            </w:r>
          </w:p>
          <w:p w14:paraId="456A03C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注：响应人投报多个标段的，需要每个标段单独制作电子响应文件。</w:t>
            </w:r>
          </w:p>
          <w:p w14:paraId="549BCAA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2、电子化响应文件应在磋商截止时间前成功上传至三门峡市公共资源电子化交易系统。至磋商截止时间止，仍未上传成功的电子化响应文件将不予接收。</w:t>
            </w:r>
          </w:p>
          <w:p w14:paraId="13B9ED73">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445EAEA9">
            <w:pPr>
              <w:autoSpaceDE w:val="0"/>
              <w:autoSpaceDN w:val="0"/>
              <w:adjustRightInd w:val="0"/>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技术联系电话：0398-3117095   3117</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871</w:t>
            </w:r>
          </w:p>
          <w:p w14:paraId="50C1F66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新点客服电话:4009980000</w:t>
            </w:r>
          </w:p>
          <w:p w14:paraId="6A4E9339">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（三）电子化项目开标、解密、评标</w:t>
            </w:r>
          </w:p>
          <w:p w14:paraId="6AD647B5">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本项目采用电子化、无纸化进行磋商，开标当日，响应人无需到开标现场参加开标会议，响应人应当在磋商截止时间前，登陆不见面开标大厅选择登陆三门峡市公共资源电子招投标系统进行登陆（网址为http://122.112.246.33/BidOpening/bidopeninghallaction/hall/login）,在线准时参加开标活动并进行响应文件解密等。</w:t>
            </w:r>
          </w:p>
          <w:p w14:paraId="342A49D2">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769295B8">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3、电子化响应文件解密异常的处理</w:t>
            </w:r>
          </w:p>
          <w:p w14:paraId="0D3B4D9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如出现响应人的电子响应文件无法解密等异常情况，响应人应及时致电中介服务机构说明。响应文件异常，按以下步骤进行处理：</w:t>
            </w:r>
          </w:p>
          <w:p w14:paraId="637D200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（1）首先由技术人员进行问题排查。</w:t>
            </w:r>
          </w:p>
          <w:p w14:paraId="610C0777">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（2）经技术人员排查后，是响应人文件自身问题导致响应文件无法解密的，该响应文件将不予接收、解密。开标会议继续进行。</w:t>
            </w:r>
          </w:p>
          <w:p w14:paraId="565C51FD">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0ADE88F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4、待所有响应人响应文件解密完成后，由中介服务机构操作，对所有已解密响应文件进行解密。</w:t>
            </w:r>
          </w:p>
          <w:p w14:paraId="24435AE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响应人应保证在磋商期间电话、电脑、网络能够正常工作，响应人因停电、电脑病毒、网络堵塞等原因，未在规定的解密时间内对响应文件进行解密的，其响应文件不予接收。</w:t>
            </w:r>
          </w:p>
          <w:p w14:paraId="0075B4E0">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D4BCFFB">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724C556E">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7、如评标委员会对需要回复的响应人连续三次致电未接通的，视为响应人放弃回复，评标委员会将自行对需要回复的内容进行认定。</w:t>
            </w:r>
          </w:p>
          <w:p w14:paraId="1AC5E26A">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二、资格审查资料</w:t>
            </w:r>
          </w:p>
          <w:p w14:paraId="5A0A8BAC">
            <w:pPr>
              <w:autoSpaceDE w:val="0"/>
              <w:autoSpaceDN w:val="0"/>
              <w:adjustRightInd w:val="0"/>
              <w:rPr>
                <w:rFonts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14:textFill>
                  <w14:solidFill>
                    <w14:schemeClr w14:val="tx1"/>
                  </w14:solidFill>
                </w14:textFill>
              </w:rPr>
              <w:t>本项目实行资格后审，资格评审以响应文件为准，其上传资料真实性由投标人自行承担，同时，投标人要完善主体库。提示：本项目为电子化、无纸化交易项目，为保证您能投标成功，请需仔细阅读以上条款。</w:t>
            </w:r>
          </w:p>
        </w:tc>
      </w:tr>
      <w:tr w14:paraId="7962F0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993" w:type="dxa"/>
            <w:vAlign w:val="center"/>
          </w:tcPr>
          <w:p w14:paraId="2C35AB12">
            <w:pPr>
              <w:adjustRightInd w:val="0"/>
              <w:spacing w:line="324" w:lineRule="auto"/>
              <w:jc w:val="center"/>
              <w:rPr>
                <w:rFonts w:hint="default" w:asciiTheme="minorEastAsia" w:hAnsiTheme="minorEastAsia" w:eastAsiaTheme="minorEastAsia" w:cstheme="minorEastAsia"/>
                <w:color w:val="000000" w:themeColor="text1"/>
                <w:spacing w:val="6"/>
                <w:sz w:val="28"/>
                <w:szCs w:val="28"/>
                <w:lang w:val="en-US"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22</w:t>
            </w:r>
          </w:p>
        </w:tc>
        <w:tc>
          <w:tcPr>
            <w:tcW w:w="1701" w:type="dxa"/>
            <w:vAlign w:val="center"/>
          </w:tcPr>
          <w:p w14:paraId="6BAFCE03">
            <w:pPr>
              <w:adjustRightInd w:val="0"/>
              <w:spacing w:line="324" w:lineRule="auto"/>
              <w:jc w:val="center"/>
              <w:rPr>
                <w:rFonts w:hint="eastAsia" w:asciiTheme="minorEastAsia" w:hAnsiTheme="minorEastAsia" w:eastAsia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eastAsia="zh-CN"/>
                <w14:textFill>
                  <w14:solidFill>
                    <w14:schemeClr w14:val="tx1"/>
                  </w14:solidFill>
                </w14:textFill>
              </w:rPr>
              <w:t>招标代理服务费</w:t>
            </w:r>
          </w:p>
        </w:tc>
        <w:tc>
          <w:tcPr>
            <w:tcW w:w="6520" w:type="dxa"/>
            <w:vAlign w:val="center"/>
          </w:tcPr>
          <w:p w14:paraId="368BC08C">
            <w:pPr>
              <w:autoSpaceDE w:val="0"/>
              <w:autoSpaceDN w:val="0"/>
              <w:adjustRightInd w:val="0"/>
              <w:rPr>
                <w:rFonts w:hint="eastAsia" w:asciiTheme="minorEastAsia" w:hAnsi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eastAsia="zh-CN"/>
                <w14:textFill>
                  <w14:solidFill>
                    <w14:schemeClr w14:val="tx1"/>
                  </w14:solidFill>
                </w14:textFill>
              </w:rPr>
              <w:t>按《河南省招标代理服务收费指导意见》（2023年2月），按照实际中标价计算代理费用。</w:t>
            </w:r>
          </w:p>
          <w:p w14:paraId="2811B2B7">
            <w:pPr>
              <w:autoSpaceDE w:val="0"/>
              <w:autoSpaceDN w:val="0"/>
              <w:adjustRightInd w:val="0"/>
              <w:rPr>
                <w:rFonts w:hint="eastAsia" w:asciiTheme="minorEastAsia" w:hAnsi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eastAsia="zh-CN"/>
                <w14:textFill>
                  <w14:solidFill>
                    <w14:schemeClr w14:val="tx1"/>
                  </w14:solidFill>
                </w14:textFill>
              </w:rPr>
              <w:t>收款单位：河南晨宇咨询有限公司</w:t>
            </w:r>
          </w:p>
          <w:p w14:paraId="42A6BAB5">
            <w:pPr>
              <w:autoSpaceDE w:val="0"/>
              <w:autoSpaceDN w:val="0"/>
              <w:adjustRightInd w:val="0"/>
              <w:rPr>
                <w:rFonts w:hint="eastAsia" w:asciiTheme="minorEastAsia" w:hAnsiTheme="minorEastAsia" w:cstheme="minorEastAsia"/>
                <w:color w:val="000000" w:themeColor="text1"/>
                <w:spacing w:val="6"/>
                <w:sz w:val="28"/>
                <w:szCs w:val="28"/>
                <w:lang w:eastAsia="zh-CN"/>
                <w14:textFill>
                  <w14:solidFill>
                    <w14:schemeClr w14:val="tx1"/>
                  </w14:solidFill>
                </w14:textFill>
              </w:rPr>
            </w:pPr>
            <w:r>
              <w:rPr>
                <w:rFonts w:hint="eastAsia" w:asciiTheme="minorEastAsia" w:hAnsiTheme="minorEastAsia" w:cstheme="minorEastAsia"/>
                <w:color w:val="000000" w:themeColor="text1"/>
                <w:spacing w:val="6"/>
                <w:sz w:val="28"/>
                <w:szCs w:val="28"/>
                <w:lang w:eastAsia="zh-CN"/>
                <w14:textFill>
                  <w14:solidFill>
                    <w14:schemeClr w14:val="tx1"/>
                  </w14:solidFill>
                </w14:textFill>
              </w:rPr>
              <w:t>开户行：中国银行股份有限公司三门峡陕州支行</w:t>
            </w:r>
          </w:p>
          <w:p w14:paraId="2781CC68">
            <w:pPr>
              <w:autoSpaceDE w:val="0"/>
              <w:autoSpaceDN w:val="0"/>
              <w:adjustRightInd w:val="0"/>
              <w:rPr>
                <w:rFonts w:hint="eastAsia" w:asciiTheme="minorEastAsia" w:hAnsiTheme="minorEastAsia" w:cstheme="minorEastAsia"/>
                <w:color w:val="000000" w:themeColor="text1"/>
                <w:spacing w:val="6"/>
                <w:sz w:val="28"/>
                <w:szCs w:val="28"/>
                <w14:textFill>
                  <w14:solidFill>
                    <w14:schemeClr w14:val="tx1"/>
                  </w14:solidFill>
                </w14:textFill>
              </w:rPr>
            </w:pPr>
            <w:r>
              <w:rPr>
                <w:rFonts w:hint="eastAsia" w:asciiTheme="minorEastAsia" w:hAnsiTheme="minorEastAsia" w:cstheme="minorEastAsia"/>
                <w:color w:val="000000" w:themeColor="text1"/>
                <w:spacing w:val="6"/>
                <w:sz w:val="28"/>
                <w:szCs w:val="28"/>
                <w:lang w:eastAsia="zh-CN"/>
                <w14:textFill>
                  <w14:solidFill>
                    <w14:schemeClr w14:val="tx1"/>
                  </w14:solidFill>
                </w14:textFill>
              </w:rPr>
              <w:t>帐</w:t>
            </w:r>
            <w:r>
              <w:rPr>
                <w:rFonts w:hint="eastAsia" w:asciiTheme="minorEastAsia" w:hAnsiTheme="minorEastAsia" w:cstheme="minorEastAsia"/>
                <w:color w:val="000000" w:themeColor="text1"/>
                <w:spacing w:val="6"/>
                <w:sz w:val="28"/>
                <w:szCs w:val="28"/>
                <w:lang w:val="en-US" w:eastAsia="zh-CN"/>
                <w14:textFill>
                  <w14:solidFill>
                    <w14:schemeClr w14:val="tx1"/>
                  </w14:solidFill>
                </w14:textFill>
              </w:rPr>
              <w:t xml:space="preserve">  </w:t>
            </w:r>
            <w:r>
              <w:rPr>
                <w:rFonts w:hint="eastAsia" w:asciiTheme="minorEastAsia" w:hAnsiTheme="minorEastAsia" w:cstheme="minorEastAsia"/>
                <w:color w:val="000000" w:themeColor="text1"/>
                <w:spacing w:val="6"/>
                <w:sz w:val="28"/>
                <w:szCs w:val="28"/>
                <w:lang w:eastAsia="zh-CN"/>
                <w14:textFill>
                  <w14:solidFill>
                    <w14:schemeClr w14:val="tx1"/>
                  </w14:solidFill>
                </w14:textFill>
              </w:rPr>
              <w:t>号：252069241433</w:t>
            </w:r>
          </w:p>
        </w:tc>
      </w:tr>
    </w:tbl>
    <w:p w14:paraId="2019ACC4">
      <w:pPr>
        <w:widowControl/>
        <w:spacing w:line="600" w:lineRule="exact"/>
        <w:jc w:val="center"/>
        <w:rPr>
          <w:rFonts w:ascii="宋体" w:hAnsi="Calibri" w:eastAsia="宋体" w:cs="黑体"/>
          <w:color w:val="000000" w:themeColor="text1"/>
          <w:w w:val="97"/>
          <w:kern w:val="0"/>
          <w:sz w:val="28"/>
          <w:szCs w:val="28"/>
          <w14:textFill>
            <w14:solidFill>
              <w14:schemeClr w14:val="tx1"/>
            </w14:solidFill>
          </w14:textFill>
        </w:rPr>
      </w:pPr>
      <w:r>
        <w:rPr>
          <w:rFonts w:hint="eastAsia" w:ascii="宋体" w:hAnsi="宋体" w:eastAsia="宋体" w:cs="黑体"/>
          <w:color w:val="000000" w:themeColor="text1"/>
          <w:w w:val="97"/>
          <w:kern w:val="0"/>
          <w:sz w:val="28"/>
          <w:szCs w:val="28"/>
          <w14:textFill>
            <w14:solidFill>
              <w14:schemeClr w14:val="tx1"/>
            </w14:solidFill>
          </w14:textFill>
        </w:rPr>
        <w:t>一、说明</w:t>
      </w:r>
    </w:p>
    <w:p w14:paraId="342F843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适用范围</w:t>
      </w:r>
    </w:p>
    <w:p w14:paraId="10860B1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本竞争性磋商文件仅适用于竞争性磋商公告中所叙述项目的相关采购。</w:t>
      </w:r>
    </w:p>
    <w:p w14:paraId="277B01A5">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w:t>
      </w:r>
      <w:r>
        <w:rPr>
          <w:rFonts w:hint="eastAsia" w:ascii="宋体" w:hAnsi="宋体" w:eastAsia="宋体" w:cs="宋体"/>
          <w:color w:val="000000" w:themeColor="text1"/>
          <w:spacing w:val="-3"/>
          <w:kern w:val="0"/>
          <w:sz w:val="28"/>
          <w:szCs w:val="28"/>
          <w14:textFill>
            <w14:solidFill>
              <w14:schemeClr w14:val="tx1"/>
            </w14:solidFill>
          </w14:textFill>
        </w:rPr>
        <w:t>定义</w:t>
      </w:r>
    </w:p>
    <w:p w14:paraId="164ED0AC">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2.1</w:t>
      </w:r>
      <w:r>
        <w:rPr>
          <w:rFonts w:hint="eastAsia" w:ascii="宋体" w:hAnsi="宋体" w:eastAsia="宋体" w:cs="宋体"/>
          <w:color w:val="000000" w:themeColor="text1"/>
          <w:spacing w:val="-3"/>
          <w:kern w:val="0"/>
          <w:sz w:val="28"/>
          <w:szCs w:val="28"/>
          <w14:textFill>
            <w14:solidFill>
              <w14:schemeClr w14:val="tx1"/>
            </w14:solidFill>
          </w14:textFill>
        </w:rPr>
        <w:t xml:space="preserve"> “采购人”系指本次采购项目的采购单位。</w:t>
      </w:r>
    </w:p>
    <w:p w14:paraId="6E6D0BA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2.2</w:t>
      </w:r>
      <w:r>
        <w:rPr>
          <w:rFonts w:hint="eastAsia" w:ascii="宋体" w:hAnsi="宋体" w:eastAsia="宋体" w:cs="宋体"/>
          <w:color w:val="000000" w:themeColor="text1"/>
          <w:spacing w:val="-3"/>
          <w:kern w:val="0"/>
          <w:sz w:val="28"/>
          <w:szCs w:val="28"/>
          <w14:textFill>
            <w14:solidFill>
              <w14:schemeClr w14:val="tx1"/>
            </w14:solidFill>
          </w14:textFill>
        </w:rPr>
        <w:t xml:space="preserve"> “采购代理机构”系指本次采购项目活动组织方。</w:t>
      </w:r>
    </w:p>
    <w:p w14:paraId="2610E4AF">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2.3</w:t>
      </w:r>
      <w:r>
        <w:rPr>
          <w:rFonts w:hint="eastAsia" w:ascii="宋体" w:hAnsi="宋体" w:eastAsia="宋体" w:cs="宋体"/>
          <w:color w:val="000000" w:themeColor="text1"/>
          <w:spacing w:val="-3"/>
          <w:kern w:val="0"/>
          <w:sz w:val="28"/>
          <w:szCs w:val="28"/>
          <w14:textFill>
            <w14:solidFill>
              <w14:schemeClr w14:val="tx1"/>
            </w14:solidFill>
          </w14:textFill>
        </w:rPr>
        <w:t xml:space="preserve"> “供应商”系指购买了本次竞争性磋商文件，且已经提交本次响应性文件。</w:t>
      </w:r>
    </w:p>
    <w:p w14:paraId="58291D75">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2.4 </w:t>
      </w:r>
      <w:r>
        <w:rPr>
          <w:rFonts w:hint="eastAsia" w:ascii="宋体" w:hAnsi="宋体" w:eastAsia="宋体" w:cs="宋体"/>
          <w:color w:val="000000" w:themeColor="text1"/>
          <w:spacing w:val="-3"/>
          <w:kern w:val="0"/>
          <w:sz w:val="28"/>
          <w:szCs w:val="28"/>
          <w14:textFill>
            <w14:solidFill>
              <w14:schemeClr w14:val="tx1"/>
            </w14:solidFill>
          </w14:textFill>
        </w:rPr>
        <w:t>“供应商代表”系指代表供应商参加本次磋商活动的磋商供应商的法定代表人或其委托代理人。</w:t>
      </w:r>
    </w:p>
    <w:p w14:paraId="7F64050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2.5 </w:t>
      </w:r>
      <w:r>
        <w:rPr>
          <w:rFonts w:hint="eastAsia" w:ascii="宋体" w:hAnsi="宋体" w:eastAsia="宋体" w:cs="宋体"/>
          <w:color w:val="000000" w:themeColor="text1"/>
          <w:spacing w:val="-3"/>
          <w:kern w:val="0"/>
          <w:sz w:val="28"/>
          <w:szCs w:val="28"/>
          <w14:textFill>
            <w14:solidFill>
              <w14:schemeClr w14:val="tx1"/>
            </w14:solidFill>
          </w14:textFill>
        </w:rPr>
        <w:t>“货物”系指供应商按竞争性磋商文件规定的采购人所要求的一切项目内容。</w:t>
      </w:r>
    </w:p>
    <w:p w14:paraId="72F9D4D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2.6 </w:t>
      </w:r>
      <w:r>
        <w:rPr>
          <w:rFonts w:hint="eastAsia" w:ascii="宋体" w:hAnsi="宋体" w:eastAsia="宋体" w:cs="宋体"/>
          <w:color w:val="000000" w:themeColor="text1"/>
          <w:spacing w:val="-3"/>
          <w:kern w:val="0"/>
          <w:sz w:val="28"/>
          <w:szCs w:val="28"/>
          <w14:textFill>
            <w14:solidFill>
              <w14:schemeClr w14:val="tx1"/>
            </w14:solidFill>
          </w14:textFill>
        </w:rPr>
        <w:t>“相关服务”系指竞争性磋商文件规定磋商供应商须承担的与本次采购项目相关的服务、协调工作以及其他类似的义务。</w:t>
      </w:r>
    </w:p>
    <w:p w14:paraId="4500D95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 xml:space="preserve">2.7 </w:t>
      </w:r>
      <w:r>
        <w:rPr>
          <w:rFonts w:hint="eastAsia" w:ascii="宋体" w:hAnsi="宋体" w:eastAsia="宋体" w:cs="宋体"/>
          <w:color w:val="000000" w:themeColor="text1"/>
          <w:spacing w:val="-3"/>
          <w:kern w:val="0"/>
          <w:sz w:val="28"/>
          <w:szCs w:val="28"/>
          <w14:textFill>
            <w14:solidFill>
              <w14:schemeClr w14:val="tx1"/>
            </w14:solidFill>
          </w14:textFill>
        </w:rPr>
        <w:t>“竞争性磋商文件有效期”系指本次采购项目递交响应性文件截止之日起至合同签订之日止的期限。成交供应商的竞争性磋商文件有效期至合同完全履行止。</w:t>
      </w:r>
    </w:p>
    <w:p w14:paraId="3B57238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磋商预算价</w:t>
      </w:r>
    </w:p>
    <w:p w14:paraId="27EC4D35">
      <w:pPr>
        <w:spacing w:line="600" w:lineRule="exact"/>
        <w:ind w:firstLine="548"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本次磋商预算价为：</w:t>
      </w:r>
      <w:r>
        <w:rPr>
          <w:rFonts w:hint="eastAsia" w:ascii="宋体" w:hAnsi="宋体" w:eastAsia="宋体" w:cs="宋体"/>
          <w:color w:val="000000" w:themeColor="text1"/>
          <w:spacing w:val="-3"/>
          <w:kern w:val="0"/>
          <w:sz w:val="28"/>
          <w:szCs w:val="28"/>
          <w:lang w:val="en-US" w:eastAsia="zh-CN"/>
          <w14:textFill>
            <w14:solidFill>
              <w14:schemeClr w14:val="tx1"/>
            </w14:solidFill>
          </w14:textFill>
        </w:rPr>
        <w:t>1918000</w:t>
      </w:r>
      <w:r>
        <w:rPr>
          <w:rFonts w:hint="eastAsia" w:ascii="宋体" w:hAnsi="宋体" w:eastAsia="宋体" w:cs="宋体"/>
          <w:color w:val="000000" w:themeColor="text1"/>
          <w:spacing w:val="-3"/>
          <w:kern w:val="0"/>
          <w:sz w:val="28"/>
          <w:szCs w:val="28"/>
          <w14:textFill>
            <w14:solidFill>
              <w14:schemeClr w14:val="tx1"/>
            </w14:solidFill>
          </w14:textFill>
        </w:rPr>
        <w:t>.00</w:t>
      </w:r>
      <w:r>
        <w:rPr>
          <w:rFonts w:hint="eastAsia" w:ascii="Calibri" w:hAnsi="Calibri" w:eastAsia="宋体" w:cs="Times New Roman"/>
          <w:color w:val="000000" w:themeColor="text1"/>
          <w:sz w:val="28"/>
          <w:szCs w:val="28"/>
          <w14:textFill>
            <w14:solidFill>
              <w14:schemeClr w14:val="tx1"/>
            </w14:solidFill>
          </w14:textFill>
        </w:rPr>
        <w:t>元</w:t>
      </w:r>
    </w:p>
    <w:p w14:paraId="2BF36AC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4.</w:t>
      </w:r>
      <w:r>
        <w:rPr>
          <w:rFonts w:hint="eastAsia" w:ascii="宋体" w:hAnsi="宋体" w:eastAsia="宋体" w:cs="宋体"/>
          <w:color w:val="000000" w:themeColor="text1"/>
          <w:spacing w:val="-3"/>
          <w:kern w:val="0"/>
          <w:sz w:val="28"/>
          <w:szCs w:val="28"/>
          <w14:textFill>
            <w14:solidFill>
              <w14:schemeClr w14:val="tx1"/>
            </w14:solidFill>
          </w14:textFill>
        </w:rPr>
        <w:t>供应商应提交的资格证明文件</w:t>
      </w:r>
    </w:p>
    <w:p w14:paraId="2539DBD1">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详见供应商须知</w:t>
      </w:r>
    </w:p>
    <w:p w14:paraId="3C8761FA">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联合体参加磋商</w:t>
      </w:r>
    </w:p>
    <w:p w14:paraId="2D52CCB7">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5</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本项目不接受联合体参加磋商。</w:t>
      </w:r>
    </w:p>
    <w:p w14:paraId="5DF00655">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转包与分包</w:t>
      </w:r>
    </w:p>
    <w:p w14:paraId="70CA268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本项目不允许采取转包方式履行合同。</w:t>
      </w:r>
    </w:p>
    <w:p w14:paraId="2182EE1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6</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本项目不允许采取分包方式履行合同。</w:t>
      </w:r>
    </w:p>
    <w:p w14:paraId="6003356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特别说明：</w:t>
      </w:r>
    </w:p>
    <w:p w14:paraId="48F36F16">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参加磋商所使用的资格、信誉、荣誉、业绩与企业认证必须为本法人所拥有。</w:t>
      </w:r>
    </w:p>
    <w:p w14:paraId="7E3AEC70">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代表只能接受一个供应商的委托参加磋商。</w:t>
      </w:r>
    </w:p>
    <w:p w14:paraId="2D11139E">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7</w:t>
      </w:r>
      <w:r>
        <w:rPr>
          <w:rFonts w:ascii="宋体" w:hAnsi="宋体" w:eastAsia="宋体" w:cs="宋体"/>
          <w:color w:val="000000" w:themeColor="text1"/>
          <w:spacing w:val="-3"/>
          <w:kern w:val="0"/>
          <w:sz w:val="28"/>
          <w:szCs w:val="28"/>
          <w14:textFill>
            <w14:solidFill>
              <w14:schemeClr w14:val="tx1"/>
            </w14:solidFill>
          </w14:textFill>
        </w:rPr>
        <w:t xml:space="preserve">.3 </w:t>
      </w:r>
      <w:r>
        <w:rPr>
          <w:rFonts w:hint="eastAsia" w:ascii="宋体" w:hAnsi="宋体" w:eastAsia="宋体" w:cs="宋体"/>
          <w:color w:val="000000" w:themeColor="text1"/>
          <w:spacing w:val="-3"/>
          <w:kern w:val="0"/>
          <w:sz w:val="28"/>
          <w:szCs w:val="28"/>
          <w14:textFill>
            <w14:solidFill>
              <w14:schemeClr w14:val="tx1"/>
            </w14:solidFill>
          </w14:textFill>
        </w:rPr>
        <w:t>供应商在磋商活动中提供虚假材料或从事其他违法活动的</w:t>
      </w:r>
      <w:r>
        <w:rPr>
          <w:rFonts w:ascii="宋体" w:hAnsi="Calibri"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其响应无效，由相关部门查处。</w:t>
      </w:r>
    </w:p>
    <w:p w14:paraId="5E23EFD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质疑和投诉</w:t>
      </w:r>
    </w:p>
    <w:p w14:paraId="19A3060D">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.1供应商</w:t>
      </w:r>
      <w:r>
        <w:rPr>
          <w:rFonts w:hint="eastAsia" w:ascii="宋体" w:hAnsi="宋体" w:eastAsia="宋体" w:cs="宋体"/>
          <w:color w:val="000000" w:themeColor="text1"/>
          <w:spacing w:val="-3"/>
          <w:kern w:val="0"/>
          <w:sz w:val="28"/>
          <w:szCs w:val="28"/>
          <w14:textFill>
            <w14:solidFill>
              <w14:schemeClr w14:val="tx1"/>
            </w14:solidFill>
          </w14:textFill>
        </w:rPr>
        <w:t>认为磋商过程和成交结果使自己的合法权益受到损害的，应当在知道或者应知其权益受到损害之日起</w:t>
      </w:r>
      <w:r>
        <w:rPr>
          <w:rFonts w:ascii="宋体" w:hAnsi="宋体" w:eastAsia="宋体" w:cs="宋体"/>
          <w:color w:val="000000" w:themeColor="text1"/>
          <w:spacing w:val="-3"/>
          <w:kern w:val="0"/>
          <w:sz w:val="28"/>
          <w:szCs w:val="28"/>
          <w14:textFill>
            <w14:solidFill>
              <w14:schemeClr w14:val="tx1"/>
            </w14:solidFill>
          </w14:textFill>
        </w:rPr>
        <w:t xml:space="preserve"> 7</w:t>
      </w:r>
      <w:r>
        <w:rPr>
          <w:rFonts w:hint="eastAsia" w:ascii="宋体" w:hAnsi="宋体" w:eastAsia="宋体" w:cs="宋体"/>
          <w:color w:val="000000" w:themeColor="text1"/>
          <w:spacing w:val="-3"/>
          <w:kern w:val="0"/>
          <w:sz w:val="28"/>
          <w:szCs w:val="28"/>
          <w14:textFill>
            <w14:solidFill>
              <w14:schemeClr w14:val="tx1"/>
            </w14:solidFill>
          </w14:textFill>
        </w:rPr>
        <w:t>个工作日内，向采购人或采购代理机构提出质疑。供应商对采购人或采购代理机构的质疑答复不满意或采购人或采购代理机构未在规定时间内作出答复的，可以在答复期满后</w:t>
      </w:r>
      <w:r>
        <w:rPr>
          <w:rFonts w:ascii="宋体" w:hAnsi="宋体" w:eastAsia="宋体" w:cs="宋体"/>
          <w:color w:val="000000" w:themeColor="text1"/>
          <w:spacing w:val="-3"/>
          <w:kern w:val="0"/>
          <w:sz w:val="28"/>
          <w:szCs w:val="28"/>
          <w14:textFill>
            <w14:solidFill>
              <w14:schemeClr w14:val="tx1"/>
            </w14:solidFill>
          </w14:textFill>
        </w:rPr>
        <w:t>15</w:t>
      </w:r>
      <w:r>
        <w:rPr>
          <w:rFonts w:hint="eastAsia" w:ascii="宋体" w:hAnsi="宋体" w:eastAsia="宋体" w:cs="宋体"/>
          <w:color w:val="000000" w:themeColor="text1"/>
          <w:spacing w:val="-3"/>
          <w:kern w:val="0"/>
          <w:sz w:val="28"/>
          <w:szCs w:val="28"/>
          <w14:textFill>
            <w14:solidFill>
              <w14:schemeClr w14:val="tx1"/>
            </w14:solidFill>
          </w14:textFill>
        </w:rPr>
        <w:t>个工作日内向同级财政部门投诉。</w:t>
      </w:r>
    </w:p>
    <w:p w14:paraId="45CA6DF8">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8</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502E7369">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9</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供应商的风险</w:t>
      </w:r>
    </w:p>
    <w:p w14:paraId="188CB82D">
      <w:pPr>
        <w:autoSpaceDE w:val="0"/>
        <w:autoSpaceDN w:val="0"/>
        <w:adjustRightInd w:val="0"/>
        <w:spacing w:before="32" w:line="600" w:lineRule="exact"/>
        <w:ind w:right="-58" w:firstLine="548" w:firstLineChars="200"/>
        <w:rPr>
          <w:rFonts w:ascii="宋体" w:hAnsi="Calibri" w:eastAsia="宋体" w:cs="宋体"/>
          <w:color w:val="000000" w:themeColor="text1"/>
          <w:spacing w:val="-3"/>
          <w:kern w:val="0"/>
          <w:sz w:val="28"/>
          <w:szCs w:val="28"/>
          <w14:textFill>
            <w14:solidFill>
              <w14:schemeClr w14:val="tx1"/>
            </w14:solidFill>
          </w14:textFill>
        </w:rPr>
      </w:pPr>
      <w:r>
        <w:rPr>
          <w:rFonts w:hint="eastAsia" w:ascii="宋体" w:hAnsi="宋体" w:eastAsia="宋体" w:cs="宋体"/>
          <w:color w:val="000000" w:themeColor="text1"/>
          <w:spacing w:val="-3"/>
          <w:kern w:val="0"/>
          <w:sz w:val="28"/>
          <w:szCs w:val="28"/>
          <w14:textFill>
            <w14:solidFill>
              <w14:schemeClr w14:val="tx1"/>
            </w14:solidFill>
          </w14:textFill>
        </w:rPr>
        <w:t>供应商没有按照竞争性磋商文件要求提供全部资料，或者供应商没有对响应性文件在各方面都做出实质性响应是供应商的风险，可能导致其响应被拒绝。</w:t>
      </w:r>
    </w:p>
    <w:p w14:paraId="66E1C4B7">
      <w:pPr>
        <w:autoSpaceDE w:val="0"/>
        <w:autoSpaceDN w:val="0"/>
        <w:adjustRightInd w:val="0"/>
        <w:spacing w:before="32" w:line="360" w:lineRule="auto"/>
        <w:ind w:right="-58" w:firstLine="548" w:firstLineChars="200"/>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6" w:name="_Toc109675034"/>
      <w:bookmarkStart w:id="7" w:name="_Toc21829"/>
      <w:bookmarkStart w:id="8" w:name="_Toc518571704"/>
      <w:r>
        <w:rPr>
          <w:rFonts w:hint="eastAsia" w:ascii="宋体" w:hAnsi="宋体" w:eastAsia="宋体" w:cs="宋体"/>
          <w:color w:val="000000" w:themeColor="text1"/>
          <w:spacing w:val="-3"/>
          <w:kern w:val="0"/>
          <w:sz w:val="28"/>
          <w:szCs w:val="28"/>
          <w14:textFill>
            <w14:solidFill>
              <w14:schemeClr w14:val="tx1"/>
            </w14:solidFill>
          </w14:textFill>
        </w:rPr>
        <w:t>二、竞争性磋商文件</w:t>
      </w:r>
      <w:bookmarkEnd w:id="6"/>
      <w:bookmarkEnd w:id="7"/>
      <w:bookmarkEnd w:id="8"/>
    </w:p>
    <w:p w14:paraId="70A82721">
      <w:pPr>
        <w:autoSpaceDE w:val="0"/>
        <w:autoSpaceDN w:val="0"/>
        <w:adjustRightInd w:val="0"/>
        <w:spacing w:before="136" w:line="600" w:lineRule="exact"/>
        <w:ind w:firstLine="548" w:firstLineChars="200"/>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竞争性磋商文件的构成。本竞争性磋商文件由以下部分组成：</w:t>
      </w:r>
    </w:p>
    <w:p w14:paraId="27DD6514">
      <w:pPr>
        <w:autoSpaceDE w:val="0"/>
        <w:autoSpaceDN w:val="0"/>
        <w:adjustRightInd w:val="0"/>
        <w:spacing w:before="184" w:line="600" w:lineRule="exact"/>
        <w:ind w:firstLine="548" w:firstLineChars="200"/>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竞争性磋商公告</w:t>
      </w:r>
    </w:p>
    <w:p w14:paraId="1783D8FC">
      <w:pPr>
        <w:autoSpaceDE w:val="0"/>
        <w:autoSpaceDN w:val="0"/>
        <w:adjustRightInd w:val="0"/>
        <w:spacing w:before="184" w:line="600" w:lineRule="exact"/>
        <w:ind w:firstLine="548" w:firstLineChars="200"/>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.2供应商</w:t>
      </w:r>
      <w:r>
        <w:rPr>
          <w:rFonts w:hint="eastAsia" w:ascii="宋体" w:hAnsi="宋体" w:eastAsia="宋体" w:cs="宋体"/>
          <w:color w:val="000000" w:themeColor="text1"/>
          <w:spacing w:val="-3"/>
          <w:kern w:val="0"/>
          <w:sz w:val="28"/>
          <w:szCs w:val="28"/>
          <w14:textFill>
            <w14:solidFill>
              <w14:schemeClr w14:val="tx1"/>
            </w14:solidFill>
          </w14:textFill>
        </w:rPr>
        <w:t>须知</w:t>
      </w:r>
    </w:p>
    <w:p w14:paraId="1BA94FA6">
      <w:pPr>
        <w:autoSpaceDE w:val="0"/>
        <w:autoSpaceDN w:val="0"/>
        <w:adjustRightInd w:val="0"/>
        <w:spacing w:before="184" w:line="600" w:lineRule="exact"/>
        <w:ind w:firstLine="548" w:firstLineChars="200"/>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.3</w:t>
      </w:r>
      <w:r>
        <w:rPr>
          <w:rFonts w:hint="eastAsia" w:ascii="宋体" w:hAnsi="宋体" w:eastAsia="宋体" w:cs="宋体"/>
          <w:color w:val="000000" w:themeColor="text1"/>
          <w:spacing w:val="-3"/>
          <w:kern w:val="0"/>
          <w:sz w:val="28"/>
          <w:szCs w:val="28"/>
          <w14:textFill>
            <w14:solidFill>
              <w14:schemeClr w14:val="tx1"/>
            </w14:solidFill>
          </w14:textFill>
        </w:rPr>
        <w:t xml:space="preserve"> </w:t>
      </w:r>
      <w:r>
        <w:rPr>
          <w:rFonts w:hint="eastAsia" w:ascii="宋体" w:hAnsi="宋体" w:eastAsia="宋体" w:cs="宋体"/>
          <w:color w:val="000000" w:themeColor="text1"/>
          <w:spacing w:val="-3"/>
          <w:kern w:val="0"/>
          <w:sz w:val="28"/>
          <w:szCs w:val="28"/>
          <w:lang w:eastAsia="zh-CN"/>
          <w14:textFill>
            <w14:solidFill>
              <w14:schemeClr w14:val="tx1"/>
            </w14:solidFill>
          </w14:textFill>
        </w:rPr>
        <w:t>采购需求</w:t>
      </w:r>
      <w:r>
        <w:rPr>
          <w:rFonts w:hint="eastAsia" w:ascii="宋体" w:hAnsi="宋体" w:eastAsia="宋体" w:cs="宋体"/>
          <w:color w:val="000000" w:themeColor="text1"/>
          <w:spacing w:val="-3"/>
          <w:kern w:val="0"/>
          <w:sz w:val="28"/>
          <w:szCs w:val="28"/>
          <w14:textFill>
            <w14:solidFill>
              <w14:schemeClr w14:val="tx1"/>
            </w14:solidFill>
          </w14:textFill>
        </w:rPr>
        <w:t>以及相关内容</w:t>
      </w:r>
    </w:p>
    <w:p w14:paraId="6FEB3793">
      <w:pPr>
        <w:autoSpaceDE w:val="0"/>
        <w:autoSpaceDN w:val="0"/>
        <w:adjustRightInd w:val="0"/>
        <w:spacing w:before="184" w:line="600" w:lineRule="exact"/>
        <w:ind w:firstLine="536" w:firstLineChars="200"/>
        <w:jc w:val="left"/>
        <w:rPr>
          <w:rFonts w:ascii="宋体" w:hAnsi="宋体" w:eastAsia="宋体" w:cs="宋体"/>
          <w:color w:val="000000" w:themeColor="text1"/>
          <w:spacing w:val="-6"/>
          <w:kern w:val="0"/>
          <w:sz w:val="28"/>
          <w:szCs w:val="28"/>
          <w14:textFill>
            <w14:solidFill>
              <w14:schemeClr w14:val="tx1"/>
            </w14:solidFill>
          </w14:textFill>
        </w:rPr>
      </w:pPr>
      <w:r>
        <w:rPr>
          <w:rFonts w:ascii="宋体" w:hAnsi="宋体" w:eastAsia="宋体" w:cs="宋体"/>
          <w:color w:val="000000" w:themeColor="text1"/>
          <w:spacing w:val="-6"/>
          <w:kern w:val="0"/>
          <w:sz w:val="28"/>
          <w:szCs w:val="28"/>
          <w14:textFill>
            <w14:solidFill>
              <w14:schemeClr w14:val="tx1"/>
            </w14:solidFill>
          </w14:textFill>
        </w:rPr>
        <w:t>1</w:t>
      </w:r>
      <w:r>
        <w:rPr>
          <w:rFonts w:hint="eastAsia" w:ascii="宋体" w:hAnsi="宋体" w:eastAsia="宋体" w:cs="宋体"/>
          <w:color w:val="000000" w:themeColor="text1"/>
          <w:spacing w:val="-6"/>
          <w:kern w:val="0"/>
          <w:sz w:val="28"/>
          <w:szCs w:val="28"/>
          <w14:textFill>
            <w14:solidFill>
              <w14:schemeClr w14:val="tx1"/>
            </w14:solidFill>
          </w14:textFill>
        </w:rPr>
        <w:t>0</w:t>
      </w:r>
      <w:r>
        <w:rPr>
          <w:rFonts w:ascii="宋体" w:hAnsi="宋体" w:eastAsia="宋体" w:cs="宋体"/>
          <w:color w:val="000000" w:themeColor="text1"/>
          <w:spacing w:val="-6"/>
          <w:kern w:val="0"/>
          <w:sz w:val="28"/>
          <w:szCs w:val="28"/>
          <w14:textFill>
            <w14:solidFill>
              <w14:schemeClr w14:val="tx1"/>
            </w14:solidFill>
          </w14:textFill>
        </w:rPr>
        <w:t xml:space="preserve">.4 </w:t>
      </w:r>
      <w:r>
        <w:rPr>
          <w:rFonts w:hint="eastAsia" w:ascii="宋体" w:hAnsi="宋体" w:eastAsia="宋体" w:cs="宋体"/>
          <w:color w:val="000000" w:themeColor="text1"/>
          <w:spacing w:val="-6"/>
          <w:kern w:val="0"/>
          <w:sz w:val="28"/>
          <w:szCs w:val="28"/>
          <w14:textFill>
            <w14:solidFill>
              <w14:schemeClr w14:val="tx1"/>
            </w14:solidFill>
          </w14:textFill>
        </w:rPr>
        <w:t>合同条款及合同文件格式</w:t>
      </w:r>
    </w:p>
    <w:p w14:paraId="4440DFDC">
      <w:pPr>
        <w:autoSpaceDE w:val="0"/>
        <w:autoSpaceDN w:val="0"/>
        <w:adjustRightInd w:val="0"/>
        <w:spacing w:before="184" w:line="600" w:lineRule="exact"/>
        <w:ind w:firstLine="536" w:firstLineChars="200"/>
        <w:jc w:val="left"/>
        <w:rPr>
          <w:rFonts w:ascii="宋体" w:hAnsi="宋体" w:eastAsia="宋体" w:cs="宋体"/>
          <w:color w:val="000000" w:themeColor="text1"/>
          <w:spacing w:val="-6"/>
          <w:kern w:val="0"/>
          <w:sz w:val="28"/>
          <w:szCs w:val="28"/>
          <w14:textFill>
            <w14:solidFill>
              <w14:schemeClr w14:val="tx1"/>
            </w14:solidFill>
          </w14:textFill>
        </w:rPr>
      </w:pPr>
      <w:r>
        <w:rPr>
          <w:rFonts w:hint="eastAsia" w:ascii="宋体" w:hAnsi="宋体" w:eastAsia="宋体" w:cs="宋体"/>
          <w:color w:val="000000" w:themeColor="text1"/>
          <w:spacing w:val="-6"/>
          <w:kern w:val="0"/>
          <w:sz w:val="28"/>
          <w:szCs w:val="28"/>
          <w14:textFill>
            <w14:solidFill>
              <w14:schemeClr w14:val="tx1"/>
            </w14:solidFill>
          </w14:textFill>
        </w:rPr>
        <w:t>10.5 评审标准</w:t>
      </w:r>
    </w:p>
    <w:p w14:paraId="51CCC4BA">
      <w:pPr>
        <w:autoSpaceDE w:val="0"/>
        <w:autoSpaceDN w:val="0"/>
        <w:adjustRightInd w:val="0"/>
        <w:spacing w:before="184" w:line="600" w:lineRule="exact"/>
        <w:ind w:firstLine="548" w:firstLineChars="200"/>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0</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6磋商文件格式</w:t>
      </w:r>
    </w:p>
    <w:p w14:paraId="39FDBD9E">
      <w:pPr>
        <w:autoSpaceDE w:val="0"/>
        <w:autoSpaceDN w:val="0"/>
        <w:adjustRightInd w:val="0"/>
        <w:spacing w:before="184" w:line="600" w:lineRule="exact"/>
        <w:ind w:firstLine="548" w:firstLineChars="200"/>
        <w:jc w:val="left"/>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竞争性磋商文件的澄清与修改</w:t>
      </w:r>
    </w:p>
    <w:p w14:paraId="680896B3">
      <w:pPr>
        <w:autoSpaceDE w:val="0"/>
        <w:autoSpaceDN w:val="0"/>
        <w:adjustRightInd w:val="0"/>
        <w:spacing w:before="32" w:line="600" w:lineRule="exact"/>
        <w:ind w:right="-58" w:firstLine="548" w:firstLineChars="200"/>
        <w:rPr>
          <w:rFonts w:ascii="宋体" w:hAnsi="宋体"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.1 </w:t>
      </w:r>
      <w:r>
        <w:rPr>
          <w:rFonts w:hint="eastAsia" w:ascii="宋体" w:hAnsi="宋体" w:eastAsia="宋体" w:cs="宋体"/>
          <w:color w:val="000000" w:themeColor="text1"/>
          <w:spacing w:val="-3"/>
          <w:kern w:val="0"/>
          <w:sz w:val="28"/>
          <w:szCs w:val="28"/>
          <w14:textFill>
            <w14:solidFill>
              <w14:schemeClr w14:val="tx1"/>
            </w14:solidFill>
          </w14:textFill>
        </w:rPr>
        <w:t>采购代理机构对已发出的竞争性磋商文件进行必要澄清、修改或补充</w:t>
      </w:r>
      <w:r>
        <w:rPr>
          <w:rFonts w:hint="eastAsia" w:ascii="宋体" w:hAnsi="宋体" w:eastAsia="宋体" w:cs="宋体"/>
          <w:color w:val="000000" w:themeColor="text1"/>
          <w:spacing w:val="-6"/>
          <w:kern w:val="0"/>
          <w:sz w:val="28"/>
          <w:szCs w:val="28"/>
          <w14:textFill>
            <w14:solidFill>
              <w14:schemeClr w14:val="tx1"/>
            </w14:solidFill>
          </w14:textFill>
        </w:rPr>
        <w:t>的，应当在竞争性磋商文件要求提交响应性文件截止时间5日（如至原定</w:t>
      </w:r>
      <w:r>
        <w:rPr>
          <w:rFonts w:hint="eastAsia" w:ascii="宋体" w:hAnsi="宋体" w:eastAsia="宋体" w:cs="宋体"/>
          <w:color w:val="000000" w:themeColor="text1"/>
          <w:spacing w:val="-4"/>
          <w:kern w:val="0"/>
          <w:sz w:val="28"/>
          <w:szCs w:val="28"/>
          <w14:textFill>
            <w14:solidFill>
              <w14:schemeClr w14:val="tx1"/>
            </w14:solidFill>
          </w14:textFill>
        </w:rPr>
        <w:t>截止时间不足5日，则需延长磋商开始时间）前，在</w:t>
      </w:r>
      <w:r>
        <w:rPr>
          <w:rFonts w:hint="eastAsia" w:ascii="宋体" w:hAnsi="宋体" w:eastAsia="宋体" w:cs="Times New Roman"/>
          <w:color w:val="000000" w:themeColor="text1"/>
          <w:sz w:val="28"/>
          <w:szCs w:val="28"/>
          <w14:textFill>
            <w14:solidFill>
              <w14:schemeClr w14:val="tx1"/>
            </w14:solidFill>
          </w14:textFill>
        </w:rPr>
        <w:t>《河南省政府采</w:t>
      </w:r>
      <w:r>
        <w:rPr>
          <w:rFonts w:hint="eastAsia" w:ascii="Calibri" w:hAnsi="Calibri" w:eastAsia="宋体" w:cs="Times New Roman"/>
          <w:color w:val="000000" w:themeColor="text1"/>
          <w:sz w:val="28"/>
          <w:szCs w:val="28"/>
          <w14:textFill>
            <w14:solidFill>
              <w14:schemeClr w14:val="tx1"/>
            </w14:solidFill>
          </w14:textFill>
        </w:rPr>
        <w:t>购网</w:t>
      </w:r>
      <w:r>
        <w:rPr>
          <w:rFonts w:hint="eastAsia" w:ascii="宋体" w:hAnsi="宋体" w:eastAsia="宋体" w:cs="宋体"/>
          <w:color w:val="000000" w:themeColor="text1"/>
          <w:spacing w:val="-4"/>
          <w:kern w:val="0"/>
          <w:sz w:val="28"/>
          <w:szCs w:val="28"/>
          <w14:textFill>
            <w14:solidFill>
              <w14:schemeClr w14:val="tx1"/>
            </w14:solidFill>
          </w14:textFill>
        </w:rPr>
        <w:t>》、《中国招标投标公共服务平台》和</w:t>
      </w:r>
      <w:r>
        <w:rPr>
          <w:rFonts w:hint="eastAsia" w:ascii="Calibri" w:hAnsi="Calibri" w:eastAsia="宋体" w:cs="Times New Roman"/>
          <w:color w:val="000000" w:themeColor="text1"/>
          <w:sz w:val="28"/>
          <w:szCs w:val="28"/>
          <w14:textFill>
            <w14:solidFill>
              <w14:schemeClr w14:val="tx1"/>
            </w14:solidFill>
          </w14:textFill>
        </w:rPr>
        <w:t>《三门峡市公共资源交易中心网》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r>
        <w:rPr>
          <w:rFonts w:hint="eastAsia" w:ascii="宋体" w:hAnsi="宋体" w:eastAsia="宋体" w:cs="宋体"/>
          <w:color w:val="000000" w:themeColor="text1"/>
          <w:spacing w:val="-3"/>
          <w:kern w:val="0"/>
          <w:sz w:val="28"/>
          <w:szCs w:val="28"/>
          <w14:textFill>
            <w14:solidFill>
              <w14:schemeClr w14:val="tx1"/>
            </w14:solidFill>
          </w14:textFill>
        </w:rPr>
        <w:t>。竞争性磋商文件公示期间对竞争性磋商文件进行的澄清、修改或补充不受上述限制。</w:t>
      </w:r>
    </w:p>
    <w:p w14:paraId="2E21E155">
      <w:pPr>
        <w:autoSpaceDE w:val="0"/>
        <w:autoSpaceDN w:val="0"/>
        <w:adjustRightInd w:val="0"/>
        <w:spacing w:before="163" w:line="600" w:lineRule="exact"/>
        <w:ind w:firstLine="548" w:firstLineChars="200"/>
        <w:jc w:val="left"/>
        <w:rPr>
          <w:rFonts w:ascii="宋体" w:hAnsi="Calibri" w:eastAsia="宋体" w:cs="宋体"/>
          <w:color w:val="000000" w:themeColor="text1"/>
          <w:spacing w:val="-3"/>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 xml:space="preserve">.2 </w:t>
      </w:r>
      <w:r>
        <w:rPr>
          <w:rFonts w:hint="eastAsia" w:ascii="宋体" w:hAnsi="宋体" w:eastAsia="宋体" w:cs="宋体"/>
          <w:color w:val="000000" w:themeColor="text1"/>
          <w:spacing w:val="-3"/>
          <w:kern w:val="0"/>
          <w:sz w:val="28"/>
          <w:szCs w:val="28"/>
          <w14:textFill>
            <w14:solidFill>
              <w14:schemeClr w14:val="tx1"/>
            </w14:solidFill>
          </w14:textFill>
        </w:rPr>
        <w:t>竞争性磋商文件澄清、修改或补充的内容为竞争性磋商文件的组成部分。</w:t>
      </w:r>
    </w:p>
    <w:p w14:paraId="5955B2BB">
      <w:pPr>
        <w:autoSpaceDE w:val="0"/>
        <w:autoSpaceDN w:val="0"/>
        <w:adjustRightInd w:val="0"/>
        <w:spacing w:line="600" w:lineRule="exact"/>
        <w:ind w:right="-58" w:firstLine="548"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3"/>
          <w:kern w:val="0"/>
          <w:sz w:val="28"/>
          <w:szCs w:val="28"/>
          <w14:textFill>
            <w14:solidFill>
              <w14:schemeClr w14:val="tx1"/>
            </w14:solidFill>
          </w14:textFill>
        </w:rPr>
        <w:t>1</w:t>
      </w:r>
      <w:r>
        <w:rPr>
          <w:rFonts w:hint="eastAsia" w:ascii="宋体" w:hAnsi="宋体" w:eastAsia="宋体" w:cs="宋体"/>
          <w:color w:val="000000" w:themeColor="text1"/>
          <w:spacing w:val="-3"/>
          <w:kern w:val="0"/>
          <w:sz w:val="28"/>
          <w:szCs w:val="28"/>
          <w14:textFill>
            <w14:solidFill>
              <w14:schemeClr w14:val="tx1"/>
            </w14:solidFill>
          </w14:textFill>
        </w:rPr>
        <w:t>1</w:t>
      </w:r>
      <w:r>
        <w:rPr>
          <w:rFonts w:ascii="宋体" w:hAnsi="宋体" w:eastAsia="宋体" w:cs="宋体"/>
          <w:color w:val="000000" w:themeColor="text1"/>
          <w:spacing w:val="-3"/>
          <w:kern w:val="0"/>
          <w:sz w:val="28"/>
          <w:szCs w:val="28"/>
          <w14:textFill>
            <w14:solidFill>
              <w14:schemeClr w14:val="tx1"/>
            </w14:solidFill>
          </w14:textFill>
        </w:rPr>
        <w:t>.</w:t>
      </w:r>
      <w:r>
        <w:rPr>
          <w:rFonts w:hint="eastAsia" w:ascii="宋体" w:hAnsi="宋体" w:eastAsia="宋体" w:cs="宋体"/>
          <w:color w:val="000000" w:themeColor="text1"/>
          <w:spacing w:val="-3"/>
          <w:kern w:val="0"/>
          <w:sz w:val="28"/>
          <w:szCs w:val="28"/>
          <w14:textFill>
            <w14:solidFill>
              <w14:schemeClr w14:val="tx1"/>
            </w14:solidFill>
          </w14:textFill>
        </w:rPr>
        <w:t>3采购代理机构可以视采购具体情况，延长递交响应性文件截止时间和</w:t>
      </w:r>
      <w:r>
        <w:rPr>
          <w:rFonts w:hint="eastAsia" w:ascii="宋体" w:hAnsi="宋体" w:eastAsia="宋体" w:cs="宋体"/>
          <w:color w:val="000000" w:themeColor="text1"/>
          <w:spacing w:val="-4"/>
          <w:kern w:val="0"/>
          <w:sz w:val="28"/>
          <w:szCs w:val="28"/>
          <w14:textFill>
            <w14:solidFill>
              <w14:schemeClr w14:val="tx1"/>
            </w14:solidFill>
          </w14:textFill>
        </w:rPr>
        <w:t>开始磋商时间，但至少应当在竞争性磋商文件要求提交响应性文件的截止时间5日前，将在</w:t>
      </w:r>
      <w:r>
        <w:rPr>
          <w:rFonts w:hint="eastAsia" w:ascii="宋体" w:hAnsi="宋体" w:eastAsia="宋体" w:cs="Times New Roman"/>
          <w:color w:val="000000" w:themeColor="text1"/>
          <w:sz w:val="28"/>
          <w:szCs w:val="28"/>
          <w14:textFill>
            <w14:solidFill>
              <w14:schemeClr w14:val="tx1"/>
            </w14:solidFill>
          </w14:textFill>
        </w:rPr>
        <w:t>《河南省政府采</w:t>
      </w:r>
      <w:r>
        <w:rPr>
          <w:rFonts w:hint="eastAsia" w:ascii="Calibri" w:hAnsi="Calibri" w:eastAsia="宋体" w:cs="Times New Roman"/>
          <w:color w:val="000000" w:themeColor="text1"/>
          <w:sz w:val="28"/>
          <w:szCs w:val="28"/>
          <w14:textFill>
            <w14:solidFill>
              <w14:schemeClr w14:val="tx1"/>
            </w14:solidFill>
          </w14:textFill>
        </w:rPr>
        <w:t>购网》、《</w:t>
      </w:r>
      <w:r>
        <w:rPr>
          <w:rFonts w:hint="eastAsia" w:ascii="宋体" w:hAnsi="宋体" w:eastAsia="宋体" w:cs="宋体"/>
          <w:color w:val="000000" w:themeColor="text1"/>
          <w:spacing w:val="-4"/>
          <w:kern w:val="0"/>
          <w:sz w:val="28"/>
          <w:szCs w:val="28"/>
          <w14:textFill>
            <w14:solidFill>
              <w14:schemeClr w14:val="tx1"/>
            </w14:solidFill>
          </w14:textFill>
        </w:rPr>
        <w:t>中国招标投标公共服务平台</w:t>
      </w:r>
      <w:r>
        <w:rPr>
          <w:rFonts w:hint="eastAsia" w:ascii="Calibri" w:hAnsi="Calibri" w:eastAsia="宋体" w:cs="Times New Roman"/>
          <w:color w:val="000000" w:themeColor="text1"/>
          <w:sz w:val="28"/>
          <w:szCs w:val="28"/>
          <w14:textFill>
            <w14:solidFill>
              <w14:schemeClr w14:val="tx1"/>
            </w14:solidFill>
          </w14:textFill>
        </w:rPr>
        <w:t>》和《三门峡市公共资源交易中心网》</w:t>
      </w:r>
      <w:r>
        <w:rPr>
          <w:rFonts w:hint="eastAsia" w:ascii="宋体" w:hAnsi="宋体" w:eastAsia="宋体" w:cs="宋体"/>
          <w:color w:val="000000" w:themeColor="text1"/>
          <w:spacing w:val="-4"/>
          <w:kern w:val="0"/>
          <w:sz w:val="28"/>
          <w:szCs w:val="28"/>
          <w14:textFill>
            <w14:solidFill>
              <w14:schemeClr w14:val="tx1"/>
            </w14:solidFill>
          </w14:textFill>
        </w:rPr>
        <w:t>等相关媒体上发布更正公告。</w:t>
      </w:r>
    </w:p>
    <w:p w14:paraId="35B94F70">
      <w:pPr>
        <w:autoSpaceDE w:val="0"/>
        <w:autoSpaceDN w:val="0"/>
        <w:adjustRightInd w:val="0"/>
        <w:spacing w:before="32" w:line="360" w:lineRule="auto"/>
        <w:ind w:right="-58" w:firstLine="548" w:firstLineChars="200"/>
        <w:jc w:val="center"/>
        <w:outlineLvl w:val="1"/>
        <w:rPr>
          <w:rFonts w:ascii="宋体" w:hAnsi="Calibri" w:eastAsia="宋体" w:cs="宋体"/>
          <w:color w:val="000000" w:themeColor="text1"/>
          <w:spacing w:val="-3"/>
          <w:kern w:val="0"/>
          <w:sz w:val="28"/>
          <w:szCs w:val="28"/>
          <w14:textFill>
            <w14:solidFill>
              <w14:schemeClr w14:val="tx1"/>
            </w14:solidFill>
          </w14:textFill>
        </w:rPr>
      </w:pPr>
      <w:bookmarkStart w:id="9" w:name="_Toc518571705"/>
      <w:bookmarkStart w:id="10" w:name="_Toc19198"/>
      <w:bookmarkStart w:id="11" w:name="_Toc109675035"/>
      <w:r>
        <w:rPr>
          <w:rFonts w:hint="eastAsia" w:ascii="宋体" w:hAnsi="宋体" w:eastAsia="宋体" w:cs="宋体"/>
          <w:color w:val="000000" w:themeColor="text1"/>
          <w:spacing w:val="-3"/>
          <w:kern w:val="0"/>
          <w:sz w:val="28"/>
          <w:szCs w:val="28"/>
          <w14:textFill>
            <w14:solidFill>
              <w14:schemeClr w14:val="tx1"/>
            </w14:solidFill>
          </w14:textFill>
        </w:rPr>
        <w:t>三、响应性文件的编制</w:t>
      </w:r>
      <w:bookmarkEnd w:id="9"/>
      <w:bookmarkEnd w:id="10"/>
      <w:bookmarkEnd w:id="11"/>
    </w:p>
    <w:p w14:paraId="25B78CC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要求</w:t>
      </w:r>
    </w:p>
    <w:p w14:paraId="199C8D5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2</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供应商应仔细阅读竞争性磋商文件的所有内容，按照竞争性磋商文件提供的格式编写响应性文件，不得缺少或留空任何竞争性磋商文件要求填写的表格或提交的资料。竞争性磋商文件提供格式的按格式填列，未提供格式的可自行拟定。响应性文件应对竞争性磋商文件的要求作出实质性响应（包括响应性文件格式要求），供应商对所提供的全部资料的合法性、真实性负责。</w:t>
      </w:r>
    </w:p>
    <w:p w14:paraId="3A70C3B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响应性文件的语言和计量单位</w:t>
      </w:r>
    </w:p>
    <w:p w14:paraId="789B8AA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响应性文件以及供应商与采购、代理机构就有关磋商事宜的所有来往函电均应使用简体中文书写。</w:t>
      </w:r>
    </w:p>
    <w:p w14:paraId="78415DE9">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3</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关于计量单位，竞争性磋商文件已有明确规定的，使用竞争性磋商文件规定的计量单位；竞争性磋商文件没有规定的，应采用中华人民共和国法定计量单位。</w:t>
      </w:r>
    </w:p>
    <w:p w14:paraId="011B3E8F">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4</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响应性文件的组成。响应性文件应包括下列部分：</w:t>
      </w:r>
    </w:p>
    <w:p w14:paraId="37D5049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14.1 法定代表人身份证明书</w:t>
      </w:r>
    </w:p>
    <w:p w14:paraId="5F1E53C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14.2 授权委托书</w:t>
      </w:r>
    </w:p>
    <w:p w14:paraId="6646AD5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14.3 磋 商 函</w:t>
      </w:r>
    </w:p>
    <w:p w14:paraId="31D45A59">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 xml:space="preserve">14.4 </w:t>
      </w:r>
      <w:r>
        <w:rPr>
          <w:rFonts w:hint="eastAsia" w:ascii="宋体" w:hAnsi="宋体" w:eastAsia="宋体" w:cs="Times New Roman"/>
          <w:color w:val="000000" w:themeColor="text1"/>
          <w:kern w:val="0"/>
          <w:sz w:val="28"/>
          <w:szCs w:val="28"/>
          <w14:textFill>
            <w14:solidFill>
              <w14:schemeClr w14:val="tx1"/>
            </w14:solidFill>
          </w14:textFill>
        </w:rPr>
        <w:t>磋商函附表</w:t>
      </w:r>
    </w:p>
    <w:p w14:paraId="1F95C38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5</w:t>
      </w:r>
      <w:r>
        <w:rPr>
          <w:rFonts w:hint="eastAsia" w:ascii="宋体" w:hAnsi="宋体" w:eastAsia="宋体" w:cs="宋体"/>
          <w:color w:val="000000" w:themeColor="text1"/>
          <w:spacing w:val="-4"/>
          <w:kern w:val="0"/>
          <w:sz w:val="28"/>
          <w:szCs w:val="28"/>
          <w14:textFill>
            <w14:solidFill>
              <w14:schemeClr w14:val="tx1"/>
            </w14:solidFill>
          </w14:textFill>
        </w:rPr>
        <w:t xml:space="preserve"> 商务响应表</w:t>
      </w:r>
    </w:p>
    <w:p w14:paraId="77349F5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6</w:t>
      </w:r>
      <w:r>
        <w:rPr>
          <w:rFonts w:hint="eastAsia" w:ascii="宋体" w:hAnsi="宋体" w:eastAsia="宋体" w:cs="宋体"/>
          <w:color w:val="000000" w:themeColor="text1"/>
          <w:spacing w:val="-4"/>
          <w:kern w:val="0"/>
          <w:sz w:val="28"/>
          <w:szCs w:val="28"/>
          <w14:textFill>
            <w14:solidFill>
              <w14:schemeClr w14:val="tx1"/>
            </w14:solidFill>
          </w14:textFill>
        </w:rPr>
        <w:t xml:space="preserve"> 证明文件</w:t>
      </w:r>
    </w:p>
    <w:p w14:paraId="4E9125C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 xml:space="preserve">7 </w:t>
      </w:r>
      <w:r>
        <w:rPr>
          <w:rFonts w:hint="eastAsia" w:ascii="宋体" w:hAnsi="宋体" w:eastAsia="宋体" w:cs="宋体"/>
          <w:color w:val="000000" w:themeColor="text1"/>
          <w:spacing w:val="-4"/>
          <w:kern w:val="0"/>
          <w:sz w:val="28"/>
          <w:szCs w:val="28"/>
          <w14:textFill>
            <w14:solidFill>
              <w14:schemeClr w14:val="tx1"/>
            </w14:solidFill>
          </w14:textFill>
        </w:rPr>
        <w:t>实施方案（格式自拟）</w:t>
      </w:r>
    </w:p>
    <w:p w14:paraId="71E4651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8</w:t>
      </w:r>
      <w:r>
        <w:rPr>
          <w:rFonts w:hint="eastAsia" w:ascii="宋体" w:hAnsi="宋体" w:eastAsia="宋体" w:cs="宋体"/>
          <w:color w:val="000000" w:themeColor="text1"/>
          <w:spacing w:val="-4"/>
          <w:kern w:val="0"/>
          <w:sz w:val="28"/>
          <w:szCs w:val="28"/>
          <w14:textFill>
            <w14:solidFill>
              <w14:schemeClr w14:val="tx1"/>
            </w14:solidFill>
          </w14:textFill>
        </w:rPr>
        <w:t xml:space="preserve"> 无商业贿赂和不正当竞争行为承诺书</w:t>
      </w:r>
    </w:p>
    <w:p w14:paraId="1AD9692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9</w:t>
      </w:r>
      <w:r>
        <w:rPr>
          <w:rFonts w:hint="eastAsia" w:ascii="宋体" w:hAnsi="宋体" w:eastAsia="宋体" w:cs="宋体"/>
          <w:color w:val="000000" w:themeColor="text1"/>
          <w:spacing w:val="-4"/>
          <w:kern w:val="0"/>
          <w:sz w:val="28"/>
          <w:szCs w:val="28"/>
          <w14:textFill>
            <w14:solidFill>
              <w14:schemeClr w14:val="tx1"/>
            </w14:solidFill>
          </w14:textFill>
        </w:rPr>
        <w:t xml:space="preserve"> 磋商承诺函</w:t>
      </w:r>
    </w:p>
    <w:p w14:paraId="03D4CAA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14.1</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0</w:t>
      </w:r>
      <w:r>
        <w:rPr>
          <w:rFonts w:hint="eastAsia" w:ascii="宋体" w:hAnsi="宋体" w:eastAsia="宋体" w:cs="宋体"/>
          <w:color w:val="000000" w:themeColor="text1"/>
          <w:spacing w:val="-4"/>
          <w:kern w:val="0"/>
          <w:sz w:val="28"/>
          <w:szCs w:val="28"/>
          <w14:textFill>
            <w14:solidFill>
              <w14:schemeClr w14:val="tx1"/>
            </w14:solidFill>
          </w14:textFill>
        </w:rPr>
        <w:t xml:space="preserve"> 信用中国</w:t>
      </w:r>
    </w:p>
    <w:p w14:paraId="6430EDD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14.1</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1非</w:t>
      </w:r>
      <w:r>
        <w:rPr>
          <w:rFonts w:hint="eastAsia" w:ascii="宋体" w:hAnsi="宋体" w:eastAsia="宋体" w:cs="宋体"/>
          <w:color w:val="000000" w:themeColor="text1"/>
          <w:spacing w:val="-4"/>
          <w:kern w:val="0"/>
          <w:sz w:val="28"/>
          <w:szCs w:val="28"/>
          <w14:textFill>
            <w14:solidFill>
              <w14:schemeClr w14:val="tx1"/>
            </w14:solidFill>
          </w14:textFill>
        </w:rPr>
        <w:t>联合体承诺（格式自拟）</w:t>
      </w:r>
    </w:p>
    <w:p w14:paraId="596B1DA9">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14.1</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投标供应商资格声明函</w:t>
      </w:r>
    </w:p>
    <w:p w14:paraId="796B0B4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14.1</w:t>
      </w:r>
      <w:r>
        <w:rPr>
          <w:rFonts w:hint="eastAsia" w:ascii="宋体" w:hAnsi="宋体" w:eastAsia="宋体" w:cs="宋体"/>
          <w:color w:val="000000" w:themeColor="text1"/>
          <w:spacing w:val="-4"/>
          <w:kern w:val="0"/>
          <w:sz w:val="28"/>
          <w:szCs w:val="28"/>
          <w:lang w:val="en-US" w:eastAsia="zh-CN"/>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其他资料</w:t>
      </w:r>
    </w:p>
    <w:p w14:paraId="2E1D720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响应性文件从所规定的递交响应性文件截止期之后开始生效，有效期不足将导致其响应性文件被拒绝。成交供应商的响应性文件有效期至合同完全履行止。</w:t>
      </w:r>
    </w:p>
    <w:p w14:paraId="5DC0811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5</w:t>
      </w:r>
      <w:r>
        <w:rPr>
          <w:rFonts w:ascii="宋体" w:hAnsi="宋体" w:eastAsia="宋体" w:cs="宋体"/>
          <w:color w:val="000000" w:themeColor="text1"/>
          <w:spacing w:val="-4"/>
          <w:kern w:val="0"/>
          <w:sz w:val="28"/>
          <w:szCs w:val="28"/>
          <w14:textFill>
            <w14:solidFill>
              <w14:schemeClr w14:val="tx1"/>
            </w14:solidFill>
          </w14:textFill>
        </w:rPr>
        <w:t xml:space="preserve">.2 </w:t>
      </w:r>
      <w:r>
        <w:rPr>
          <w:rFonts w:hint="eastAsia" w:ascii="宋体" w:hAnsi="宋体" w:eastAsia="宋体" w:cs="宋体"/>
          <w:color w:val="000000" w:themeColor="text1"/>
          <w:spacing w:val="-4"/>
          <w:kern w:val="0"/>
          <w:sz w:val="28"/>
          <w:szCs w:val="28"/>
          <w14:textFill>
            <w14:solidFill>
              <w14:schemeClr w14:val="tx1"/>
            </w14:solidFill>
          </w14:textFill>
        </w:rPr>
        <w:t>特殊情况下采购代理机构可于响应性文件有效期满之前书面要求供应商同意延长有效期，供应商应在采购代理机构规定的期限内以书面形式予以答复。供应商答复不明确或者逾期未答复的，均视为拒绝上述要求。对于接受该要求的供应商，既不要求也不允许其修改响应性文件。</w:t>
      </w:r>
    </w:p>
    <w:p w14:paraId="5ACC830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磋商报价</w:t>
      </w:r>
    </w:p>
    <w:p w14:paraId="32C673E9">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 xml:space="preserve">.1 </w:t>
      </w:r>
      <w:r>
        <w:rPr>
          <w:rFonts w:hint="eastAsia" w:ascii="宋体" w:hAnsi="宋体" w:eastAsia="宋体" w:cs="宋体"/>
          <w:color w:val="000000" w:themeColor="text1"/>
          <w:spacing w:val="-4"/>
          <w:kern w:val="0"/>
          <w:sz w:val="28"/>
          <w:szCs w:val="28"/>
          <w14:textFill>
            <w14:solidFill>
              <w14:schemeClr w14:val="tx1"/>
            </w14:solidFill>
          </w14:textFill>
        </w:rPr>
        <w:t>所有磋商报价均以人民币元为计算单位。供应商的报价为项目实施所需的人工费、服务费、税费及完成项目所需其他一切费用。</w:t>
      </w:r>
    </w:p>
    <w:p w14:paraId="0FD8917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.2供应商</w:t>
      </w:r>
      <w:r>
        <w:rPr>
          <w:rFonts w:hint="eastAsia" w:ascii="宋体" w:hAnsi="宋体" w:eastAsia="宋体" w:cs="宋体"/>
          <w:color w:val="000000" w:themeColor="text1"/>
          <w:spacing w:val="-4"/>
          <w:kern w:val="0"/>
          <w:sz w:val="28"/>
          <w:szCs w:val="28"/>
          <w14:textFill>
            <w14:solidFill>
              <w14:schemeClr w14:val="tx1"/>
            </w14:solidFill>
          </w14:textFill>
        </w:rPr>
        <w:t>要按磋商函附表的内容填写。</w:t>
      </w:r>
    </w:p>
    <w:p w14:paraId="122A1308">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6</w:t>
      </w:r>
      <w:r>
        <w:rPr>
          <w:rFonts w:ascii="宋体" w:hAnsi="宋体" w:eastAsia="宋体" w:cs="宋体"/>
          <w:color w:val="000000" w:themeColor="text1"/>
          <w:spacing w:val="-4"/>
          <w:kern w:val="0"/>
          <w:sz w:val="28"/>
          <w:szCs w:val="28"/>
          <w14:textFill>
            <w14:solidFill>
              <w14:schemeClr w14:val="tx1"/>
            </w14:solidFill>
          </w14:textFill>
        </w:rPr>
        <w:t>.3</w:t>
      </w:r>
      <w:r>
        <w:rPr>
          <w:rFonts w:hint="eastAsia" w:ascii="宋体" w:hAnsi="宋体" w:eastAsia="宋体" w:cs="宋体"/>
          <w:color w:val="000000" w:themeColor="text1"/>
          <w:spacing w:val="-4"/>
          <w:kern w:val="0"/>
          <w:sz w:val="28"/>
          <w:szCs w:val="28"/>
          <w14:textFill>
            <w14:solidFill>
              <w14:schemeClr w14:val="tx1"/>
            </w14:solidFill>
          </w14:textFill>
        </w:rPr>
        <w:t xml:space="preserve"> 本次磋商应以人民币报价，分两次进行报价。</w:t>
      </w:r>
    </w:p>
    <w:p w14:paraId="669A2458">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7、磋商保证金</w:t>
      </w:r>
    </w:p>
    <w:p w14:paraId="5793C5F7">
      <w:pPr>
        <w:spacing w:line="600" w:lineRule="exact"/>
        <w:ind w:firstLine="544" w:firstLineChars="200"/>
        <w:rPr>
          <w:rFonts w:ascii="Calibri" w:hAnsi="Calibri" w:eastAsia="宋体" w:cs="Times New Roman"/>
          <w:color w:val="000000" w:themeColor="text1"/>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.1</w:t>
      </w:r>
      <w:r>
        <w:rPr>
          <w:rFonts w:hint="eastAsia" w:ascii="Calibri" w:hAnsi="Calibri" w:eastAsia="宋体" w:cs="Times New Roman"/>
          <w:color w:val="000000" w:themeColor="text1"/>
          <w:sz w:val="28"/>
          <w:szCs w:val="28"/>
          <w14:textFill>
            <w14:solidFill>
              <w14:schemeClr w14:val="tx1"/>
            </w14:solidFill>
          </w14:textFill>
        </w:rPr>
        <w:t>根据《河南省财政厅关于优化政府采购营商环境有关问题的通知》（豫财购【2019】4号）第6条的规定，保证金不再收取。</w:t>
      </w:r>
    </w:p>
    <w:p w14:paraId="1D25734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1</w:t>
      </w:r>
      <w:r>
        <w:rPr>
          <w:rFonts w:hint="eastAsia" w:ascii="宋体" w:hAnsi="宋体" w:eastAsia="宋体" w:cs="宋体"/>
          <w:color w:val="000000" w:themeColor="text1"/>
          <w:spacing w:val="-4"/>
          <w:kern w:val="0"/>
          <w:sz w:val="28"/>
          <w:szCs w:val="28"/>
          <w14:textFill>
            <w14:solidFill>
              <w14:schemeClr w14:val="tx1"/>
            </w14:solidFill>
          </w14:textFill>
        </w:rPr>
        <w:t>7</w:t>
      </w:r>
      <w:r>
        <w:rPr>
          <w:rFonts w:ascii="宋体" w:hAnsi="宋体" w:eastAsia="宋体" w:cs="宋体"/>
          <w:color w:val="000000" w:themeColor="text1"/>
          <w:spacing w:val="-4"/>
          <w:kern w:val="0"/>
          <w:sz w:val="28"/>
          <w:szCs w:val="28"/>
          <w14:textFill>
            <w14:solidFill>
              <w14:schemeClr w14:val="tx1"/>
            </w14:solidFill>
          </w14:textFill>
        </w:rPr>
        <w:t>.</w:t>
      </w:r>
      <w:r>
        <w:rPr>
          <w:rFonts w:hint="eastAsia" w:ascii="宋体" w:hAnsi="宋体" w:eastAsia="宋体" w:cs="宋体"/>
          <w:color w:val="000000" w:themeColor="text1"/>
          <w:spacing w:val="-4"/>
          <w:kern w:val="0"/>
          <w:sz w:val="28"/>
          <w:szCs w:val="28"/>
          <w14:textFill>
            <w14:solidFill>
              <w14:schemeClr w14:val="tx1"/>
            </w14:solidFill>
          </w14:textFill>
        </w:rPr>
        <w:t>2 磋商保证金的形式：磋商保证金承诺为准</w:t>
      </w:r>
    </w:p>
    <w:p w14:paraId="7F95EE9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 响应性文件的签署</w:t>
      </w:r>
    </w:p>
    <w:p w14:paraId="6A0B04C9">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18.1 供应商应按本竞争性磋商文件规定的格式和顺序编制响应性文件。除了响应性文件封面以外，每个页面都要在明显位置编制页码，按流水顺序填写，响应性文件的目录必须编序。响应性文件内容不完整、编排混乱导致被误读、漏读或者查找不到相关内容的，由供应商负责。</w:t>
      </w:r>
    </w:p>
    <w:p w14:paraId="1353EF17">
      <w:pPr>
        <w:autoSpaceDE w:val="0"/>
        <w:autoSpaceDN w:val="0"/>
        <w:adjustRightInd w:val="0"/>
        <w:spacing w:before="32" w:line="360" w:lineRule="auto"/>
        <w:ind w:right="-58" w:firstLine="544" w:firstLineChars="200"/>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2" w:name="_Toc1427"/>
      <w:bookmarkStart w:id="13" w:name="_Toc518571706"/>
      <w:bookmarkStart w:id="14" w:name="_Toc109675036"/>
      <w:r>
        <w:rPr>
          <w:rFonts w:hint="eastAsia" w:ascii="宋体" w:hAnsi="宋体" w:eastAsia="宋体" w:cs="宋体"/>
          <w:color w:val="000000" w:themeColor="text1"/>
          <w:spacing w:val="-4"/>
          <w:kern w:val="0"/>
          <w:sz w:val="28"/>
          <w:szCs w:val="28"/>
          <w14:textFill>
            <w14:solidFill>
              <w14:schemeClr w14:val="tx1"/>
            </w14:solidFill>
          </w14:textFill>
        </w:rPr>
        <w:t>四、响应性文件的递交</w:t>
      </w:r>
      <w:bookmarkEnd w:id="12"/>
      <w:bookmarkEnd w:id="13"/>
      <w:bookmarkEnd w:id="14"/>
    </w:p>
    <w:p w14:paraId="453F6D45">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19.响应性文件的递交</w:t>
      </w:r>
    </w:p>
    <w:p w14:paraId="37E709E3">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在响应文件截止时间前上传至三门峡市公共资源交易中心系统平台。</w:t>
      </w:r>
    </w:p>
    <w:p w14:paraId="50983968">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20.响应性文件的修改和撤回</w:t>
      </w:r>
    </w:p>
    <w:p w14:paraId="4190BB2E">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20.1 供应商在递交竞争性磋商文件截止时间前，可以对所提交的响应性文件进行补充、修改或者撤回。</w:t>
      </w:r>
    </w:p>
    <w:p w14:paraId="3A3EAA26">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21.采购人或采购代理机构将拒绝接受其响应性文件：</w:t>
      </w:r>
    </w:p>
    <w:p w14:paraId="406E4FBE">
      <w:pPr>
        <w:autoSpaceDE w:val="0"/>
        <w:autoSpaceDN w:val="0"/>
        <w:adjustRightInd w:val="0"/>
        <w:spacing w:before="32" w:line="600" w:lineRule="exact"/>
        <w:ind w:right="-57"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21. 1 在竞争性磋商文件规定的递交竞争性磋商文件截止时间之后上传竞争性磋商文件的。</w:t>
      </w:r>
    </w:p>
    <w:p w14:paraId="7F25C0B6">
      <w:pPr>
        <w:autoSpaceDE w:val="0"/>
        <w:autoSpaceDN w:val="0"/>
        <w:adjustRightInd w:val="0"/>
        <w:spacing w:before="32" w:line="360" w:lineRule="auto"/>
        <w:ind w:right="-58" w:firstLine="544" w:firstLineChars="200"/>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5" w:name="_Toc3332"/>
      <w:bookmarkStart w:id="16" w:name="_Toc109675037"/>
      <w:bookmarkStart w:id="17" w:name="_Toc518571707"/>
      <w:r>
        <w:rPr>
          <w:rFonts w:hint="eastAsia" w:ascii="宋体" w:hAnsi="宋体" w:eastAsia="宋体" w:cs="宋体"/>
          <w:color w:val="000000" w:themeColor="text1"/>
          <w:spacing w:val="-4"/>
          <w:kern w:val="0"/>
          <w:sz w:val="28"/>
          <w:szCs w:val="28"/>
          <w14:textFill>
            <w14:solidFill>
              <w14:schemeClr w14:val="tx1"/>
            </w14:solidFill>
          </w14:textFill>
        </w:rPr>
        <w:t>五、磋商</w:t>
      </w:r>
      <w:bookmarkEnd w:id="15"/>
      <w:bookmarkEnd w:id="16"/>
      <w:bookmarkEnd w:id="17"/>
    </w:p>
    <w:p w14:paraId="4E9F481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2、磋商仪式</w:t>
      </w:r>
    </w:p>
    <w:p w14:paraId="6DDFFC0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22.1采购人按本须知前附表所规定的时间和地点开标，开标会议由采购代理机构主持，在有关部门监督下进行。</w:t>
      </w:r>
    </w:p>
    <w:p w14:paraId="021CB616">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22.2投标供应商无需到开标现场参加开标会议，投标供应商应当在投标截止时间前，登陆不见面开标大厅选择登陆三门峡市公共资源电子招投标系统进行登陆（网址为http://120.194.249.36:10094/BidOpening/bidopeninghallaction/hall/login）,在线准时参加开标活动并进行投标文件解密等。</w:t>
      </w:r>
    </w:p>
    <w:p w14:paraId="0E940CF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3、磋商小组</w:t>
      </w:r>
    </w:p>
    <w:p w14:paraId="6529070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采购代理机构根据采购项目的特点依法组建磋商小组。磋商小组由采购人代表和有关技术、经济等方面的专家组成，成员为</w:t>
      </w:r>
      <w:r>
        <w:rPr>
          <w:rFonts w:ascii="宋体" w:hAnsi="宋体" w:eastAsia="宋体" w:cs="宋体"/>
          <w:color w:val="000000" w:themeColor="text1"/>
          <w:spacing w:val="-4"/>
          <w:kern w:val="0"/>
          <w:sz w:val="28"/>
          <w:szCs w:val="28"/>
          <w14:textFill>
            <w14:solidFill>
              <w14:schemeClr w14:val="tx1"/>
            </w14:solidFill>
          </w14:textFill>
        </w:rPr>
        <w:t xml:space="preserve"> 3 </w:t>
      </w:r>
      <w:r>
        <w:rPr>
          <w:rFonts w:hint="eastAsia" w:ascii="宋体" w:hAnsi="宋体" w:eastAsia="宋体" w:cs="宋体"/>
          <w:color w:val="000000" w:themeColor="text1"/>
          <w:spacing w:val="-4"/>
          <w:kern w:val="0"/>
          <w:sz w:val="28"/>
          <w:szCs w:val="28"/>
          <w14:textFill>
            <w14:solidFill>
              <w14:schemeClr w14:val="tx1"/>
            </w14:solidFill>
          </w14:textFill>
        </w:rPr>
        <w:t>人。其中：技术、经济等方面的专家</w:t>
      </w:r>
      <w:r>
        <w:rPr>
          <w:rFonts w:ascii="宋体" w:hAnsi="宋体" w:eastAsia="宋体" w:cs="宋体"/>
          <w:color w:val="000000" w:themeColor="text1"/>
          <w:spacing w:val="-4"/>
          <w:kern w:val="0"/>
          <w:sz w:val="28"/>
          <w:szCs w:val="28"/>
          <w14:textFill>
            <w14:solidFill>
              <w14:schemeClr w14:val="tx1"/>
            </w14:solidFill>
          </w14:textFill>
        </w:rPr>
        <w:t xml:space="preserve"> 2 </w:t>
      </w:r>
      <w:r>
        <w:rPr>
          <w:rFonts w:hint="eastAsia" w:ascii="宋体" w:hAnsi="宋体" w:eastAsia="宋体" w:cs="宋体"/>
          <w:color w:val="000000" w:themeColor="text1"/>
          <w:spacing w:val="-4"/>
          <w:kern w:val="0"/>
          <w:sz w:val="28"/>
          <w:szCs w:val="28"/>
          <w14:textFill>
            <w14:solidFill>
              <w14:schemeClr w14:val="tx1"/>
            </w14:solidFill>
          </w14:textFill>
        </w:rPr>
        <w:t>名，采购人代表</w:t>
      </w:r>
      <w:r>
        <w:rPr>
          <w:rFonts w:ascii="宋体" w:hAnsi="宋体" w:eastAsia="宋体" w:cs="宋体"/>
          <w:color w:val="000000" w:themeColor="text1"/>
          <w:spacing w:val="-4"/>
          <w:kern w:val="0"/>
          <w:sz w:val="28"/>
          <w:szCs w:val="28"/>
          <w14:textFill>
            <w14:solidFill>
              <w14:schemeClr w14:val="tx1"/>
            </w14:solidFill>
          </w14:textFill>
        </w:rPr>
        <w:t xml:space="preserve"> 1 </w:t>
      </w:r>
      <w:r>
        <w:rPr>
          <w:rFonts w:hint="eastAsia" w:ascii="宋体" w:hAnsi="宋体" w:eastAsia="宋体" w:cs="宋体"/>
          <w:color w:val="000000" w:themeColor="text1"/>
          <w:spacing w:val="-4"/>
          <w:kern w:val="0"/>
          <w:sz w:val="28"/>
          <w:szCs w:val="28"/>
          <w14:textFill>
            <w14:solidFill>
              <w14:schemeClr w14:val="tx1"/>
            </w14:solidFill>
          </w14:textFill>
        </w:rPr>
        <w:t>名。采购人代表不得担任磋商小组组长。</w:t>
      </w:r>
    </w:p>
    <w:p w14:paraId="51DF1AEC">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4、磋商工作纪律及保密</w:t>
      </w:r>
    </w:p>
    <w:p w14:paraId="7312348C">
      <w:pPr>
        <w:autoSpaceDE w:val="0"/>
        <w:autoSpaceDN w:val="0"/>
        <w:adjustRightInd w:val="0"/>
        <w:spacing w:before="32" w:line="600" w:lineRule="exact"/>
        <w:ind w:right="-58" w:firstLine="544" w:firstLineChars="200"/>
        <w:rPr>
          <w:rFonts w:ascii="宋体" w:hAnsi="Calibri"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评审专家应当遵守评审工作纪律，不得泄露评审情况和评审中获悉的商业秘密。</w:t>
      </w:r>
    </w:p>
    <w:p w14:paraId="43C53906">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5、磋商小组工作原则</w:t>
      </w:r>
    </w:p>
    <w:p w14:paraId="1555699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6A85DB9">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6、响应文件审查</w:t>
      </w:r>
    </w:p>
    <w:p w14:paraId="63543A7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在对响应文件的有效性、完整性和响应程度进行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689DC770">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7、供应商澄清</w:t>
      </w:r>
    </w:p>
    <w:p w14:paraId="077BCCD4">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磋商小组要求供应商澄清、说明或者更正响应文件将在电子系统作出。</w:t>
      </w:r>
    </w:p>
    <w:p w14:paraId="4B903D5A">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ascii="宋体" w:hAnsi="宋体" w:eastAsia="宋体" w:cs="宋体"/>
          <w:color w:val="000000" w:themeColor="text1"/>
          <w:spacing w:val="-4"/>
          <w:kern w:val="0"/>
          <w:sz w:val="28"/>
          <w:szCs w:val="28"/>
          <w14:textFill>
            <w14:solidFill>
              <w14:schemeClr w14:val="tx1"/>
            </w14:solidFill>
          </w14:textFill>
        </w:rPr>
        <w:t>2</w:t>
      </w:r>
      <w:r>
        <w:rPr>
          <w:rFonts w:hint="eastAsia" w:ascii="宋体" w:hAnsi="宋体" w:eastAsia="宋体" w:cs="宋体"/>
          <w:color w:val="000000" w:themeColor="text1"/>
          <w:spacing w:val="-4"/>
          <w:kern w:val="0"/>
          <w:sz w:val="28"/>
          <w:szCs w:val="28"/>
          <w14:textFill>
            <w14:solidFill>
              <w14:schemeClr w14:val="tx1"/>
            </w14:solidFill>
          </w14:textFill>
        </w:rPr>
        <w:t>8、磋商程序、最后报价、综合评分</w:t>
      </w:r>
    </w:p>
    <w:p w14:paraId="32ACAD4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磋商小组所有成员应当集中与单一供应商分别进行磋商，并给予所有参加磋商的供应商平等的磋商机会。</w:t>
      </w:r>
    </w:p>
    <w:p w14:paraId="13C357E5">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在磋商过程中，磋商小组可以根据磋商文件和磋商情况实质性变动采购需求中的技术、服务要求以及合同草案条款，但不得变动磋商文件中的其他内容。对磋商文件做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41C2E7DB">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磋商文件能够详细列明采购的的技术、服务要求的，磋商结束后，磋商小组将要求所有实质性响应的供应商提交最后报价。最后报价是供应商响应文件的有效组成部分。</w:t>
      </w:r>
    </w:p>
    <w:p w14:paraId="2F0C71A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已提交响应文件的供应商，在提交最后报价之前，可以根据情况退出磋商。</w:t>
      </w:r>
    </w:p>
    <w:p w14:paraId="05CE413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23AC7103">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评审时，磋商小组各成员独立对每个有效响应的文件进行评价、打分，然后汇总每个供应商每项评分因素的得分。</w:t>
      </w:r>
    </w:p>
    <w:p w14:paraId="48600B15">
      <w:pPr>
        <w:autoSpaceDE w:val="0"/>
        <w:autoSpaceDN w:val="0"/>
        <w:adjustRightInd w:val="0"/>
        <w:spacing w:before="32" w:line="600" w:lineRule="exact"/>
        <w:ind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磋商小组应当根据综合评分情况，按照评审得分由高到低顺序推荐 3 名成交候选供应商并编写评审报告。评审得分相同的，按照最后报价由低到高的顺序推荐。评审得分且最后报价相同的，按照技术指标优劣顺序推荐。</w:t>
      </w:r>
    </w:p>
    <w:p w14:paraId="019E4BB9">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出现下列情形之一的，将终止竞争性磋商采购活动，发布项目终止公告并说明原因，重新开展采购活动：</w:t>
      </w:r>
    </w:p>
    <w:p w14:paraId="406E8647">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val="en-US"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1、不符合法律、法规和竞争性磋商文件中规定的其他实质性要求的</w:t>
      </w:r>
      <w:r>
        <w:rPr>
          <w:rFonts w:hint="eastAsia" w:ascii="宋体" w:hAnsi="宋体" w:eastAsia="宋体" w:cs="宋体"/>
          <w:color w:val="000000" w:themeColor="text1"/>
          <w:spacing w:val="-4"/>
          <w:kern w:val="0"/>
          <w:sz w:val="28"/>
          <w:szCs w:val="28"/>
          <w:lang w:eastAsia="zh-CN"/>
          <w14:textFill>
            <w14:solidFill>
              <w14:schemeClr w14:val="tx1"/>
            </w14:solidFill>
          </w14:textFill>
        </w:rPr>
        <w:t>；</w:t>
      </w:r>
    </w:p>
    <w:p w14:paraId="6FD618B5">
      <w:pPr>
        <w:autoSpaceDE w:val="0"/>
        <w:autoSpaceDN w:val="0"/>
        <w:adjustRightInd w:val="0"/>
        <w:spacing w:before="32" w:line="600" w:lineRule="exact"/>
        <w:ind w:right="-58" w:firstLine="544" w:firstLineChars="200"/>
        <w:rPr>
          <w:rFonts w:hint="eastAsia" w:ascii="宋体" w:hAnsi="宋体" w:eastAsia="宋体" w:cs="宋体"/>
          <w:color w:val="000000" w:themeColor="text1"/>
          <w:spacing w:val="-4"/>
          <w:kern w:val="0"/>
          <w:sz w:val="28"/>
          <w:szCs w:val="28"/>
          <w:lang w:eastAsia="zh-CN"/>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2、其他法律、法规及本竞争性磋商文件规定的属响应无效的情形。终止竞争性磋商采购活动的条款</w:t>
      </w:r>
      <w:r>
        <w:rPr>
          <w:rFonts w:hint="eastAsia" w:ascii="宋体" w:hAnsi="宋体" w:eastAsia="宋体" w:cs="宋体"/>
          <w:color w:val="000000" w:themeColor="text1"/>
          <w:spacing w:val="-4"/>
          <w:kern w:val="0"/>
          <w:sz w:val="28"/>
          <w:szCs w:val="28"/>
          <w:lang w:eastAsia="zh-CN"/>
          <w14:textFill>
            <w14:solidFill>
              <w14:schemeClr w14:val="tx1"/>
            </w14:solidFill>
          </w14:textFill>
        </w:rPr>
        <w:t>；</w:t>
      </w:r>
    </w:p>
    <w:p w14:paraId="75E40A2D">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3、因情况变化，不再符合规定的竞争性磋商采购方式适用情形的；出现影响采购公正的违法、违规行为的；</w:t>
      </w:r>
    </w:p>
    <w:p w14:paraId="526E8ABC">
      <w:pPr>
        <w:autoSpaceDE w:val="0"/>
        <w:autoSpaceDN w:val="0"/>
        <w:adjustRightInd w:val="0"/>
        <w:spacing w:before="32" w:line="360" w:lineRule="auto"/>
        <w:ind w:right="-58" w:firstLine="544" w:firstLineChars="200"/>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18" w:name="_Toc109675038"/>
      <w:bookmarkStart w:id="19" w:name="_Toc518571708"/>
      <w:bookmarkStart w:id="20" w:name="_Toc29137"/>
      <w:r>
        <w:rPr>
          <w:rFonts w:hint="eastAsia" w:ascii="宋体" w:hAnsi="宋体" w:eastAsia="宋体" w:cs="宋体"/>
          <w:color w:val="000000" w:themeColor="text1"/>
          <w:spacing w:val="-4"/>
          <w:kern w:val="0"/>
          <w:sz w:val="28"/>
          <w:szCs w:val="28"/>
          <w14:textFill>
            <w14:solidFill>
              <w14:schemeClr w14:val="tx1"/>
            </w14:solidFill>
          </w14:textFill>
        </w:rPr>
        <w:t>六、确定成交</w:t>
      </w:r>
      <w:bookmarkEnd w:id="18"/>
      <w:bookmarkEnd w:id="19"/>
      <w:bookmarkEnd w:id="20"/>
    </w:p>
    <w:p w14:paraId="7B1C6CD9">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采购人在收到评审报告后2个工作日内，从评审报告提出的成交候选供应商中，按照排序由高到低的原则确定成交供应商。</w:t>
      </w:r>
    </w:p>
    <w:p w14:paraId="10DEEFF1">
      <w:pPr>
        <w:autoSpaceDE w:val="0"/>
        <w:autoSpaceDN w:val="0"/>
        <w:adjustRightInd w:val="0"/>
        <w:spacing w:before="32" w:line="360" w:lineRule="auto"/>
        <w:ind w:right="-58" w:firstLine="544" w:firstLineChars="200"/>
        <w:jc w:val="center"/>
        <w:outlineLvl w:val="1"/>
        <w:rPr>
          <w:rFonts w:ascii="宋体" w:hAnsi="Calibri" w:eastAsia="宋体" w:cs="宋体"/>
          <w:color w:val="000000" w:themeColor="text1"/>
          <w:spacing w:val="-4"/>
          <w:kern w:val="0"/>
          <w:sz w:val="28"/>
          <w:szCs w:val="28"/>
          <w14:textFill>
            <w14:solidFill>
              <w14:schemeClr w14:val="tx1"/>
            </w14:solidFill>
          </w14:textFill>
        </w:rPr>
      </w:pPr>
      <w:bookmarkStart w:id="21" w:name="_Toc109675039"/>
      <w:bookmarkStart w:id="22" w:name="_Toc518571709"/>
      <w:bookmarkStart w:id="23" w:name="_Toc12284"/>
      <w:r>
        <w:rPr>
          <w:rFonts w:hint="eastAsia" w:ascii="宋体" w:hAnsi="宋体" w:eastAsia="宋体" w:cs="宋体"/>
          <w:color w:val="000000" w:themeColor="text1"/>
          <w:spacing w:val="-4"/>
          <w:kern w:val="0"/>
          <w:sz w:val="28"/>
          <w:szCs w:val="28"/>
          <w14:textFill>
            <w14:solidFill>
              <w14:schemeClr w14:val="tx1"/>
            </w14:solidFill>
          </w14:textFill>
        </w:rPr>
        <w:t>七、授予合同</w:t>
      </w:r>
      <w:bookmarkEnd w:id="21"/>
      <w:bookmarkEnd w:id="22"/>
      <w:bookmarkEnd w:id="23"/>
    </w:p>
    <w:p w14:paraId="0869C10E">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接到《成交通知书》后，2个工作日内按指定地点与采购人签订采购合同，根据竞争性磋商文件确定的事项和成交供应商响应性文件签订合同。双方所签订的合同不得对竞争性磋商文件和成交供应商响应性文件作实质性修改。成交供应商逾期未签订合同，视为成交后无正当理由不与采购人签订合同，按照有关法律规定承担相应的法律责任。并按照有关法律规定承担相应的法律责任。采购人逾期不与成交供应商签订合同的，按政府采购的有关规定处理。</w:t>
      </w:r>
    </w:p>
    <w:p w14:paraId="0F487432">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竞争性磋商文件、竞争性磋商文件的修改文件、成交供应商的响应性文件、补充或修改的文件及澄清或承诺文件等，均为双方签订合同的组成部分，并与合同一并作为本竞争性磋商文件所列采购项目的互补性法律文件，与合同具有同等法律效力。</w:t>
      </w:r>
    </w:p>
    <w:p w14:paraId="1D64EF21">
      <w:pPr>
        <w:autoSpaceDE w:val="0"/>
        <w:autoSpaceDN w:val="0"/>
        <w:adjustRightInd w:val="0"/>
        <w:spacing w:before="32" w:line="600" w:lineRule="exact"/>
        <w:ind w:right="-58" w:firstLine="544" w:firstLineChars="200"/>
        <w:rPr>
          <w:rFonts w:ascii="宋体" w:hAnsi="宋体" w:eastAsia="宋体" w:cs="宋体"/>
          <w:color w:val="000000" w:themeColor="text1"/>
          <w:spacing w:val="-4"/>
          <w:kern w:val="0"/>
          <w:sz w:val="28"/>
          <w:szCs w:val="28"/>
          <w14:textFill>
            <w14:solidFill>
              <w14:schemeClr w14:val="tx1"/>
            </w14:solidFill>
          </w14:textFill>
        </w:rPr>
      </w:pPr>
      <w:r>
        <w:rPr>
          <w:rFonts w:hint="eastAsia" w:ascii="宋体" w:hAnsi="宋体" w:eastAsia="宋体" w:cs="宋体"/>
          <w:color w:val="000000" w:themeColor="text1"/>
          <w:spacing w:val="-4"/>
          <w:kern w:val="0"/>
          <w:sz w:val="28"/>
          <w:szCs w:val="28"/>
          <w14:textFill>
            <w14:solidFill>
              <w14:schemeClr w14:val="tx1"/>
            </w14:solidFill>
          </w14:textFill>
        </w:rPr>
        <w:t>成交供应商放弃成交、因不可抗力不能履行合同，或者被查实存在影响成交结果的违法行为等情形，不符合成交条件的，采购人可以按照磋商小组提出的成交候选供应商名单排序依次确定其他成交候选供应商为成交供应商，也可以重新组织采购。</w:t>
      </w:r>
    </w:p>
    <w:p w14:paraId="0CCEF9B0">
      <w:pPr>
        <w:pStyle w:val="5"/>
        <w:rPr>
          <w:rFonts w:hAnsi="宋体" w:eastAsia="仿宋_GB2312" w:cs="宋体"/>
          <w:bCs/>
          <w:color w:val="000000" w:themeColor="text1"/>
          <w14:textFill>
            <w14:solidFill>
              <w14:schemeClr w14:val="tx1"/>
            </w14:solidFill>
          </w14:textFill>
        </w:rPr>
      </w:pPr>
    </w:p>
    <w:p w14:paraId="0CC7D004">
      <w:pPr>
        <w:pStyle w:val="5"/>
        <w:rPr>
          <w:rFonts w:hAnsi="宋体" w:eastAsia="仿宋_GB2312" w:cs="宋体"/>
          <w:bCs/>
          <w:color w:val="000000" w:themeColor="text1"/>
          <w14:textFill>
            <w14:solidFill>
              <w14:schemeClr w14:val="tx1"/>
            </w14:solidFill>
          </w14:textFill>
        </w:rPr>
      </w:pPr>
    </w:p>
    <w:p w14:paraId="19045849">
      <w:pPr>
        <w:pStyle w:val="5"/>
        <w:rPr>
          <w:rFonts w:hAnsi="宋体" w:eastAsia="仿宋_GB2312" w:cs="宋体"/>
          <w:bCs/>
          <w:color w:val="000000" w:themeColor="text1"/>
          <w14:textFill>
            <w14:solidFill>
              <w14:schemeClr w14:val="tx1"/>
            </w14:solidFill>
          </w14:textFill>
        </w:rPr>
      </w:pPr>
    </w:p>
    <w:p w14:paraId="2DF51D05">
      <w:pPr>
        <w:pStyle w:val="5"/>
        <w:rPr>
          <w:rFonts w:hAnsi="宋体" w:eastAsia="仿宋_GB2312" w:cs="宋体"/>
          <w:bCs/>
          <w:color w:val="000000" w:themeColor="text1"/>
          <w14:textFill>
            <w14:solidFill>
              <w14:schemeClr w14:val="tx1"/>
            </w14:solidFill>
          </w14:textFill>
        </w:rPr>
      </w:pPr>
    </w:p>
    <w:p w14:paraId="4277A8D3">
      <w:pPr>
        <w:pStyle w:val="5"/>
        <w:rPr>
          <w:rFonts w:hAnsi="宋体" w:eastAsia="仿宋_GB2312" w:cs="宋体"/>
          <w:bCs/>
          <w:color w:val="000000" w:themeColor="text1"/>
          <w14:textFill>
            <w14:solidFill>
              <w14:schemeClr w14:val="tx1"/>
            </w14:solidFill>
          </w14:textFill>
        </w:rPr>
      </w:pPr>
    </w:p>
    <w:p w14:paraId="2654C1BF">
      <w:pPr>
        <w:pStyle w:val="5"/>
        <w:rPr>
          <w:rFonts w:hAnsi="宋体" w:eastAsia="仿宋_GB2312" w:cs="宋体"/>
          <w:bCs/>
          <w:color w:val="000000" w:themeColor="text1"/>
          <w14:textFill>
            <w14:solidFill>
              <w14:schemeClr w14:val="tx1"/>
            </w14:solidFill>
          </w14:textFill>
        </w:rPr>
      </w:pPr>
    </w:p>
    <w:p w14:paraId="369E1C28">
      <w:pPr>
        <w:pStyle w:val="5"/>
        <w:rPr>
          <w:rFonts w:hAnsi="宋体" w:eastAsia="仿宋_GB2312" w:cs="宋体"/>
          <w:bCs/>
          <w:color w:val="000000" w:themeColor="text1"/>
          <w14:textFill>
            <w14:solidFill>
              <w14:schemeClr w14:val="tx1"/>
            </w14:solidFill>
          </w14:textFill>
        </w:rPr>
      </w:pPr>
    </w:p>
    <w:p w14:paraId="6C0483BA">
      <w:pPr>
        <w:pStyle w:val="5"/>
        <w:rPr>
          <w:rFonts w:hAnsi="宋体" w:eastAsia="仿宋_GB2312" w:cs="宋体"/>
          <w:bCs/>
          <w:color w:val="000000" w:themeColor="text1"/>
          <w14:textFill>
            <w14:solidFill>
              <w14:schemeClr w14:val="tx1"/>
            </w14:solidFill>
          </w14:textFill>
        </w:rPr>
      </w:pPr>
    </w:p>
    <w:p w14:paraId="7DBD31ED">
      <w:pPr>
        <w:pStyle w:val="5"/>
        <w:rPr>
          <w:rFonts w:hAnsi="宋体" w:eastAsia="仿宋_GB2312" w:cs="宋体"/>
          <w:bCs/>
          <w:color w:val="000000" w:themeColor="text1"/>
          <w14:textFill>
            <w14:solidFill>
              <w14:schemeClr w14:val="tx1"/>
            </w14:solidFill>
          </w14:textFill>
        </w:rPr>
      </w:pPr>
    </w:p>
    <w:p w14:paraId="2F5759B3">
      <w:pPr>
        <w:pStyle w:val="5"/>
        <w:rPr>
          <w:rFonts w:hAnsi="宋体" w:eastAsia="仿宋_GB2312" w:cs="宋体"/>
          <w:bCs/>
          <w:color w:val="000000" w:themeColor="text1"/>
          <w14:textFill>
            <w14:solidFill>
              <w14:schemeClr w14:val="tx1"/>
            </w14:solidFill>
          </w14:textFill>
        </w:rPr>
      </w:pPr>
    </w:p>
    <w:p w14:paraId="5C12D80E">
      <w:pPr>
        <w:pStyle w:val="5"/>
        <w:rPr>
          <w:rFonts w:hAnsi="宋体" w:eastAsia="仿宋_GB2312" w:cs="宋体"/>
          <w:bCs/>
          <w:color w:val="000000" w:themeColor="text1"/>
          <w14:textFill>
            <w14:solidFill>
              <w14:schemeClr w14:val="tx1"/>
            </w14:solidFill>
          </w14:textFill>
        </w:rPr>
      </w:pPr>
    </w:p>
    <w:p w14:paraId="1974A975">
      <w:pPr>
        <w:pStyle w:val="5"/>
        <w:rPr>
          <w:rFonts w:hAnsi="宋体" w:eastAsia="仿宋_GB2312" w:cs="宋体"/>
          <w:bCs/>
          <w:color w:val="000000" w:themeColor="text1"/>
          <w14:textFill>
            <w14:solidFill>
              <w14:schemeClr w14:val="tx1"/>
            </w14:solidFill>
          </w14:textFill>
        </w:rPr>
      </w:pPr>
    </w:p>
    <w:p w14:paraId="5AFE6165">
      <w:pPr>
        <w:rPr>
          <w:rFonts w:hint="eastAsia" w:ascii="宋体" w:hAnsi="宋体" w:eastAsia="宋体" w:cs="黑体"/>
          <w:b/>
          <w:color w:val="000000" w:themeColor="text1"/>
          <w:w w:val="97"/>
          <w:kern w:val="0"/>
          <w:sz w:val="36"/>
          <w:szCs w:val="36"/>
          <w14:textFill>
            <w14:solidFill>
              <w14:schemeClr w14:val="tx1"/>
            </w14:solidFill>
          </w14:textFill>
        </w:rPr>
      </w:pPr>
      <w:bookmarkStart w:id="24" w:name="_Toc109675040"/>
    </w:p>
    <w:p w14:paraId="238F174F">
      <w:pPr>
        <w:keepNext/>
        <w:keepLines/>
        <w:spacing w:before="240" w:after="200"/>
        <w:jc w:val="center"/>
        <w:outlineLvl w:val="0"/>
        <w:rPr>
          <w:rFonts w:ascii="宋体" w:hAnsi="宋体" w:eastAsia="宋体" w:cs="黑体"/>
          <w:b/>
          <w:color w:val="000000" w:themeColor="text1"/>
          <w:w w:val="97"/>
          <w:kern w:val="0"/>
          <w:sz w:val="36"/>
          <w:szCs w:val="36"/>
          <w14:textFill>
            <w14:solidFill>
              <w14:schemeClr w14:val="tx1"/>
            </w14:solidFill>
          </w14:textFill>
        </w:rPr>
      </w:pPr>
      <w:bookmarkStart w:id="25" w:name="_Toc22000"/>
      <w:r>
        <w:rPr>
          <w:rFonts w:hint="eastAsia" w:ascii="宋体" w:hAnsi="宋体" w:eastAsia="宋体" w:cs="黑体"/>
          <w:b/>
          <w:color w:val="000000" w:themeColor="text1"/>
          <w:w w:val="97"/>
          <w:kern w:val="0"/>
          <w:sz w:val="36"/>
          <w:szCs w:val="36"/>
          <w14:textFill>
            <w14:solidFill>
              <w14:schemeClr w14:val="tx1"/>
            </w14:solidFill>
          </w14:textFill>
        </w:rPr>
        <w:t>第三章技术要求以及相关内容</w:t>
      </w:r>
      <w:bookmarkEnd w:id="24"/>
      <w:bookmarkEnd w:id="25"/>
      <w:bookmarkStart w:id="26" w:name="_Toc522547233"/>
    </w:p>
    <w:tbl>
      <w:tblPr>
        <w:tblStyle w:val="12"/>
        <w:tblW w:w="904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3"/>
        <w:gridCol w:w="1663"/>
        <w:gridCol w:w="1627"/>
        <w:gridCol w:w="4575"/>
      </w:tblGrid>
      <w:tr w14:paraId="4ED59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904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C9520">
            <w:pPr>
              <w:keepNext w:val="0"/>
              <w:keepLines w:val="0"/>
              <w:widowControl/>
              <w:suppressLineNumbers w:val="0"/>
              <w:jc w:val="center"/>
              <w:textAlignment w:val="center"/>
              <w:rPr>
                <w:rFonts w:hint="eastAsia"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2025年中国桨板超级联赛暨第三届“陕州·黄河杯”</w:t>
            </w:r>
          </w:p>
          <w:p w14:paraId="3D2D5568">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8"/>
                <w:szCs w:val="28"/>
                <w:u w:val="none"/>
                <w:lang w:val="en-US" w:eastAsia="zh-CN" w:bidi="ar"/>
              </w:rPr>
            </w:pPr>
            <w:r>
              <w:rPr>
                <w:rFonts w:hint="eastAsia" w:ascii="仿宋_GB2312" w:hAnsi="宋体" w:eastAsia="仿宋_GB2312" w:cs="仿宋_GB2312"/>
                <w:b/>
                <w:bCs/>
                <w:i w:val="0"/>
                <w:iCs w:val="0"/>
                <w:color w:val="000000"/>
                <w:kern w:val="0"/>
                <w:sz w:val="28"/>
                <w:szCs w:val="28"/>
                <w:u w:val="none"/>
                <w:lang w:val="en-US" w:eastAsia="zh-CN" w:bidi="ar"/>
              </w:rPr>
              <w:t>桨板挑战赛采购项目</w:t>
            </w:r>
          </w:p>
        </w:tc>
      </w:tr>
      <w:tr w14:paraId="78213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0D43">
            <w:pPr>
              <w:keepNext w:val="0"/>
              <w:keepLines w:val="0"/>
              <w:widowControl/>
              <w:suppressLineNumbers w:val="0"/>
              <w:jc w:val="center"/>
              <w:textAlignment w:val="center"/>
              <w:rPr>
                <w:rFonts w:ascii="仿宋_GB2312" w:hAnsi="宋体" w:eastAsia="仿宋_GB2312" w:cs="仿宋_GB2312"/>
                <w:b/>
                <w:bCs/>
                <w:i w:val="0"/>
                <w:iCs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C2922">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费用类别</w:t>
            </w:r>
          </w:p>
        </w:tc>
        <w:tc>
          <w:tcPr>
            <w:tcW w:w="16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65BD">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预算（万元）</w:t>
            </w: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D3C3">
            <w:pPr>
              <w:keepNext w:val="0"/>
              <w:keepLines w:val="0"/>
              <w:widowControl/>
              <w:suppressLineNumbers w:val="0"/>
              <w:jc w:val="center"/>
              <w:textAlignment w:val="center"/>
              <w:rPr>
                <w:rFonts w:hint="default" w:ascii="仿宋_GB2312" w:hAnsi="宋体" w:eastAsia="仿宋_GB2312" w:cs="仿宋_GB2312"/>
                <w:b/>
                <w:bCs/>
                <w:i w:val="0"/>
                <w:iCs w:val="0"/>
                <w:color w:val="000000"/>
                <w:sz w:val="28"/>
                <w:szCs w:val="28"/>
                <w:u w:val="none"/>
              </w:rPr>
            </w:pPr>
            <w:r>
              <w:rPr>
                <w:rFonts w:hint="eastAsia" w:ascii="仿宋_GB2312" w:hAnsi="宋体" w:eastAsia="仿宋_GB2312" w:cs="仿宋_GB2312"/>
                <w:b/>
                <w:i w:val="0"/>
                <w:color w:val="000000"/>
                <w:kern w:val="0"/>
                <w:sz w:val="28"/>
                <w:szCs w:val="28"/>
                <w:u w:val="none"/>
                <w:lang w:val="en-US" w:eastAsia="zh-CN" w:bidi="ar"/>
              </w:rPr>
              <w:t>备注</w:t>
            </w:r>
          </w:p>
        </w:tc>
      </w:tr>
      <w:tr w14:paraId="47E0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BC86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BCD9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赛事立项</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330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E131D">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中心赛事IP授权费、比赛奖金；</w:t>
            </w:r>
          </w:p>
        </w:tc>
      </w:tr>
      <w:tr w14:paraId="7379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77BA">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D450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竞赛器材</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FF0CF">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Hans" w:bidi="ar"/>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B1A3">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竞赛桨板、龙板、救生衣等器材租赁、运输；</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工作船艇租赁、赛道布置、竞赛标识制作；</w:t>
            </w:r>
          </w:p>
        </w:tc>
      </w:tr>
      <w:tr w14:paraId="0CC4E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4BB6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F9D0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竞赛组织</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E016">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CD8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赛事保险，裁判、救援、拍摄团队、工作团队差旅劳务</w:t>
            </w:r>
          </w:p>
        </w:tc>
      </w:tr>
      <w:tr w14:paraId="26DD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4"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5F40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95D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赛事物料</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3007">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Hans" w:bidi="ar"/>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77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赛事服装、遮阳帽、证件、奖杯/奖牌、裁判物料等物资设计制作</w:t>
            </w:r>
          </w:p>
        </w:tc>
      </w:tr>
      <w:tr w14:paraId="3006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9FFF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13A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摄影摄像</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3B70">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Hans" w:bidi="ar"/>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0BFB">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官方摄影、摄像，视频制作、图片直播；</w:t>
            </w:r>
          </w:p>
        </w:tc>
      </w:tr>
      <w:tr w14:paraId="112BA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705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78C5">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执行费用</w:t>
            </w:r>
          </w:p>
        </w:tc>
        <w:tc>
          <w:tcPr>
            <w:tcW w:w="1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A5F9">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Hans" w:bidi="ar"/>
              </w:rPr>
            </w:pPr>
          </w:p>
        </w:tc>
        <w:tc>
          <w:tcPr>
            <w:tcW w:w="4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3C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赛事公司赛事执行费</w:t>
            </w:r>
          </w:p>
        </w:tc>
      </w:tr>
    </w:tbl>
    <w:p w14:paraId="0B8C7C7B">
      <w:pPr>
        <w:pStyle w:val="5"/>
        <w:rPr>
          <w:rFonts w:hAnsi="宋体" w:eastAsia="宋体"/>
          <w:b/>
          <w:color w:val="000000" w:themeColor="text1"/>
          <w:sz w:val="36"/>
          <w:szCs w:val="36"/>
          <w14:textFill>
            <w14:solidFill>
              <w14:schemeClr w14:val="tx1"/>
            </w14:solidFill>
          </w14:textFill>
        </w:rPr>
      </w:pPr>
    </w:p>
    <w:p w14:paraId="415A8B74">
      <w:pPr>
        <w:numPr>
          <w:ilvl w:val="0"/>
          <w:numId w:val="0"/>
        </w:numPr>
        <w:bidi w:val="0"/>
        <w:jc w:val="center"/>
        <w:rPr>
          <w:rFonts w:hint="eastAsia" w:hAnsi="宋体" w:eastAsia="宋体"/>
          <w:b/>
          <w:color w:val="000000" w:themeColor="text1"/>
          <w:sz w:val="36"/>
          <w:szCs w:val="36"/>
          <w:lang w:eastAsia="zh-CN"/>
          <w14:textFill>
            <w14:solidFill>
              <w14:schemeClr w14:val="tx1"/>
            </w14:solidFill>
          </w14:textFill>
        </w:rPr>
      </w:pPr>
      <w:r>
        <w:rPr>
          <w:rFonts w:hint="eastAsia" w:hAnsi="宋体" w:eastAsia="宋体"/>
          <w:b/>
          <w:color w:val="000000" w:themeColor="text1"/>
          <w:sz w:val="36"/>
          <w:szCs w:val="36"/>
          <w:lang w:eastAsia="zh-CN"/>
          <w14:textFill>
            <w14:solidFill>
              <w14:schemeClr w14:val="tx1"/>
            </w14:solidFill>
          </w14:textFill>
        </w:rPr>
        <w:t>技术要求</w:t>
      </w:r>
    </w:p>
    <w:p w14:paraId="5709F8A8">
      <w:pPr>
        <w:numPr>
          <w:ilvl w:val="0"/>
          <w:numId w:val="2"/>
        </w:numPr>
        <w:bidi w:val="0"/>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sz w:val="28"/>
          <w:szCs w:val="28"/>
          <w:lang w:val="en-US" w:eastAsia="zh-Hans"/>
        </w:rPr>
        <w:t>项目概述</w:t>
      </w:r>
    </w:p>
    <w:p w14:paraId="4A6554FB">
      <w:pPr>
        <w:numPr>
          <w:ilvl w:val="0"/>
          <w:numId w:val="0"/>
        </w:numPr>
        <w:bidi w:val="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eastAsia="zh-Hans"/>
        </w:rPr>
        <w:t>（</w:t>
      </w:r>
      <w:r>
        <w:rPr>
          <w:rFonts w:hint="eastAsia" w:ascii="华文仿宋" w:hAnsi="华文仿宋" w:eastAsia="华文仿宋" w:cs="华文仿宋"/>
          <w:b/>
          <w:bCs/>
          <w:sz w:val="28"/>
          <w:szCs w:val="28"/>
          <w:lang w:val="en-US" w:eastAsia="zh-Hans"/>
        </w:rPr>
        <w:t>一</w:t>
      </w:r>
      <w:r>
        <w:rPr>
          <w:rFonts w:hint="eastAsia" w:ascii="华文仿宋" w:hAnsi="华文仿宋" w:eastAsia="华文仿宋" w:cs="华文仿宋"/>
          <w:b/>
          <w:bCs/>
          <w:sz w:val="28"/>
          <w:szCs w:val="28"/>
          <w:lang w:eastAsia="zh-Hans"/>
        </w:rPr>
        <w:t>）</w:t>
      </w:r>
      <w:r>
        <w:rPr>
          <w:rFonts w:hint="eastAsia" w:ascii="华文仿宋" w:hAnsi="华文仿宋" w:eastAsia="华文仿宋" w:cs="华文仿宋"/>
          <w:b/>
          <w:bCs/>
          <w:sz w:val="28"/>
          <w:szCs w:val="28"/>
          <w:lang w:eastAsia="zh-CN"/>
        </w:rPr>
        <w:t>创赛背景</w:t>
      </w:r>
    </w:p>
    <w:p w14:paraId="21CFC8EA">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CN"/>
        </w:rPr>
        <w:t>2025年中国桨板超级联赛暨第三届“陕州·黄河杯”桨板挑战赛</w:t>
      </w:r>
      <w:r>
        <w:rPr>
          <w:rFonts w:hint="eastAsia" w:ascii="华文仿宋" w:hAnsi="华文仿宋" w:eastAsia="华文仿宋" w:cs="华文仿宋"/>
          <w:sz w:val="28"/>
          <w:szCs w:val="28"/>
          <w:lang w:val="en-US" w:eastAsia="zh-Hans"/>
        </w:rPr>
        <w:t>，是</w:t>
      </w:r>
      <w:r>
        <w:rPr>
          <w:rFonts w:hint="eastAsia" w:ascii="华文仿宋" w:hAnsi="华文仿宋" w:eastAsia="华文仿宋" w:cs="华文仿宋"/>
          <w:sz w:val="28"/>
          <w:szCs w:val="28"/>
          <w:lang w:val="en-US" w:eastAsia="zh-CN"/>
        </w:rPr>
        <w:t>由国家体育总局水上运动管理中心、三门峡市人民政府联合主办的国家级桨板赛事</w:t>
      </w:r>
      <w:r>
        <w:rPr>
          <w:rFonts w:hint="eastAsia" w:ascii="华文仿宋" w:hAnsi="华文仿宋" w:eastAsia="华文仿宋" w:cs="华文仿宋"/>
          <w:sz w:val="28"/>
          <w:szCs w:val="28"/>
          <w:lang w:val="en-US" w:eastAsia="zh-Hans"/>
        </w:rPr>
        <w:t>。为高质量筹办赛事，</w:t>
      </w:r>
      <w:r>
        <w:rPr>
          <w:rFonts w:hint="eastAsia" w:ascii="华文仿宋" w:hAnsi="华文仿宋" w:eastAsia="华文仿宋" w:cs="华文仿宋"/>
          <w:sz w:val="28"/>
          <w:szCs w:val="28"/>
          <w:lang w:val="en-US" w:eastAsia="zh-CN"/>
        </w:rPr>
        <w:t>打造具有黄河元素的水上体育赛事活动，以“黄河”聚焦国际目光，促进体育赛事与旅游产业融合发展，提升三门峡城市形象和陕州区知名度,</w:t>
      </w:r>
      <w:r>
        <w:rPr>
          <w:rFonts w:hint="eastAsia" w:ascii="华文仿宋" w:hAnsi="华文仿宋" w:eastAsia="华文仿宋" w:cs="华文仿宋"/>
          <w:sz w:val="28"/>
          <w:szCs w:val="28"/>
          <w:lang w:val="en-US" w:eastAsia="zh-Hans"/>
        </w:rPr>
        <w:t>现采用竞争性磋商方式选出一家供应商提供本项目相对应的服务。</w:t>
      </w:r>
    </w:p>
    <w:p w14:paraId="03C95296">
      <w:pPr>
        <w:widowControl w:val="0"/>
        <w:numPr>
          <w:ilvl w:val="0"/>
          <w:numId w:val="0"/>
        </w:numPr>
        <w:spacing w:line="608" w:lineRule="exact"/>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kern w:val="2"/>
          <w:sz w:val="28"/>
          <w:szCs w:val="28"/>
          <w:lang w:val="en-US" w:eastAsia="zh-Hans" w:bidi="ar-SA"/>
        </w:rPr>
        <w:t>（二）</w:t>
      </w:r>
      <w:r>
        <w:rPr>
          <w:rFonts w:hint="eastAsia" w:ascii="华文仿宋" w:hAnsi="华文仿宋" w:eastAsia="华文仿宋" w:cs="华文仿宋"/>
          <w:b/>
          <w:bCs/>
          <w:sz w:val="28"/>
          <w:szCs w:val="28"/>
          <w:lang w:val="en-US" w:eastAsia="zh-Hans"/>
        </w:rPr>
        <w:t>比赛时间与地点：</w:t>
      </w:r>
    </w:p>
    <w:p w14:paraId="70D7F13E">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时间：2025年5月17日-18日</w:t>
      </w:r>
    </w:p>
    <w:p w14:paraId="00EF44E7">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地点：三门峡市天鹅湖国家城市湿地公园陕州区水上运动中心水域。</w:t>
      </w:r>
    </w:p>
    <w:p w14:paraId="3D5E6852">
      <w:pPr>
        <w:widowControl w:val="0"/>
        <w:numPr>
          <w:ilvl w:val="0"/>
          <w:numId w:val="0"/>
        </w:numPr>
        <w:spacing w:line="608" w:lineRule="exact"/>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kern w:val="2"/>
          <w:sz w:val="28"/>
          <w:szCs w:val="28"/>
          <w:lang w:val="en-US" w:eastAsia="zh-Hans" w:bidi="ar-SA"/>
        </w:rPr>
        <w:t>（三）</w:t>
      </w:r>
      <w:r>
        <w:rPr>
          <w:rFonts w:hint="eastAsia" w:ascii="华文仿宋" w:hAnsi="华文仿宋" w:eastAsia="华文仿宋" w:cs="华文仿宋"/>
          <w:b/>
          <w:bCs/>
          <w:sz w:val="28"/>
          <w:szCs w:val="28"/>
          <w:lang w:val="en-US" w:eastAsia="zh-Hans"/>
        </w:rPr>
        <w:t>比赛</w:t>
      </w:r>
      <w:r>
        <w:rPr>
          <w:rFonts w:hint="eastAsia" w:ascii="华文仿宋" w:hAnsi="华文仿宋" w:eastAsia="华文仿宋" w:cs="华文仿宋"/>
          <w:b/>
          <w:bCs/>
          <w:sz w:val="28"/>
          <w:szCs w:val="28"/>
          <w:lang w:val="en-US" w:eastAsia="zh-CN"/>
        </w:rPr>
        <w:t>项目</w:t>
      </w:r>
      <w:r>
        <w:rPr>
          <w:rFonts w:hint="eastAsia" w:ascii="华文仿宋" w:hAnsi="华文仿宋" w:eastAsia="华文仿宋" w:cs="华文仿宋"/>
          <w:b/>
          <w:bCs/>
          <w:sz w:val="28"/>
          <w:szCs w:val="28"/>
          <w:lang w:val="en-US" w:eastAsia="zh-Hans"/>
        </w:rPr>
        <w:t>：</w:t>
      </w:r>
    </w:p>
    <w:p w14:paraId="4BBABDFE">
      <w:pPr>
        <w:numPr>
          <w:ilvl w:val="0"/>
          <w:numId w:val="0"/>
        </w:numPr>
        <w:bidi w:val="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（1）组别：公开组、大师组（U55）、卡胡纳组（U65）、高校组、青少年组（U18、U15、U12、U9）</w:t>
      </w:r>
    </w:p>
    <w:p w14:paraId="12570050">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1.公开组：18～65周岁</w:t>
      </w:r>
    </w:p>
    <w:p w14:paraId="7034D1D4">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2.大师组（U55）：40～55周岁</w:t>
      </w:r>
    </w:p>
    <w:p w14:paraId="0DA9BF4A">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3.卡胡纳组（U65）：56～65周岁</w:t>
      </w:r>
    </w:p>
    <w:p w14:paraId="2CAA5948">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4.高校组：在校大学生</w:t>
      </w:r>
    </w:p>
    <w:p w14:paraId="1FAA3F3D">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5.青少年组（U18、U15、U12、U9）：</w:t>
      </w:r>
    </w:p>
    <w:p w14:paraId="7FDA246A">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U18:2007年1月1日后出生</w:t>
      </w:r>
    </w:p>
    <w:p w14:paraId="6BAF4D26">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U15:2010年1月1日后出生</w:t>
      </w:r>
    </w:p>
    <w:p w14:paraId="07ACCCAD">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U12:2013年1月1日后出生</w:t>
      </w:r>
    </w:p>
    <w:p w14:paraId="26E059DC">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U9:2016年1月1日后出生</w:t>
      </w:r>
    </w:p>
    <w:p w14:paraId="63205DEB">
      <w:pPr>
        <w:numPr>
          <w:ilvl w:val="0"/>
          <w:numId w:val="0"/>
        </w:numPr>
        <w:bidi w:val="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（2）项目：</w:t>
      </w:r>
    </w:p>
    <w:p w14:paraId="2FBBBF4F">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1.个人赛（男子、女子）</w:t>
      </w:r>
    </w:p>
    <w:p w14:paraId="1A0CD4FE">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200米竞速赛</w:t>
      </w:r>
    </w:p>
    <w:p w14:paraId="0B6FDDF4">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200米趴板划水赛（仅限青少年组别）</w:t>
      </w:r>
    </w:p>
    <w:p w14:paraId="3F2FEE26">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8公里（青少年4公里）</w:t>
      </w:r>
    </w:p>
    <w:p w14:paraId="60DBA485">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2.团体赛（男女组合）</w:t>
      </w:r>
    </w:p>
    <w:p w14:paraId="742E5D71">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200米接力赛（3人桨板划行、2人趴板划行）</w:t>
      </w:r>
    </w:p>
    <w:p w14:paraId="5E8059ED">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CN"/>
        </w:rPr>
        <w:t>200米龙板赛（4人）</w:t>
      </w:r>
    </w:p>
    <w:p w14:paraId="4A74913D">
      <w:pPr>
        <w:numPr>
          <w:ilvl w:val="0"/>
          <w:numId w:val="0"/>
        </w:numPr>
        <w:bidi w:val="0"/>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sz w:val="28"/>
          <w:szCs w:val="28"/>
          <w:lang w:val="en-US" w:eastAsia="zh-Hans"/>
        </w:rPr>
        <w:t>二、服务内容及要求</w:t>
      </w:r>
    </w:p>
    <w:p w14:paraId="56EE220D">
      <w:pPr>
        <w:numPr>
          <w:ilvl w:val="0"/>
          <w:numId w:val="0"/>
        </w:numPr>
        <w:bidi w:val="0"/>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sz w:val="28"/>
          <w:szCs w:val="28"/>
          <w:lang w:eastAsia="zh-Hans"/>
        </w:rPr>
        <w:t>（</w:t>
      </w:r>
      <w:r>
        <w:rPr>
          <w:rFonts w:hint="eastAsia" w:ascii="华文仿宋" w:hAnsi="华文仿宋" w:eastAsia="华文仿宋" w:cs="华文仿宋"/>
          <w:b/>
          <w:bCs/>
          <w:sz w:val="28"/>
          <w:szCs w:val="28"/>
          <w:lang w:val="en-US" w:eastAsia="zh-Hans"/>
        </w:rPr>
        <w:t>一</w:t>
      </w:r>
      <w:r>
        <w:rPr>
          <w:rFonts w:hint="eastAsia" w:ascii="华文仿宋" w:hAnsi="华文仿宋" w:eastAsia="华文仿宋" w:cs="华文仿宋"/>
          <w:b/>
          <w:bCs/>
          <w:sz w:val="28"/>
          <w:szCs w:val="28"/>
          <w:lang w:eastAsia="zh-Hans"/>
        </w:rPr>
        <w:t>）</w:t>
      </w:r>
      <w:r>
        <w:rPr>
          <w:rFonts w:hint="eastAsia" w:ascii="华文仿宋" w:hAnsi="华文仿宋" w:eastAsia="华文仿宋" w:cs="华文仿宋"/>
          <w:b/>
          <w:bCs/>
          <w:sz w:val="28"/>
          <w:szCs w:val="28"/>
          <w:lang w:val="en-US" w:eastAsia="zh-Hans"/>
        </w:rPr>
        <w:t>人员组织</w:t>
      </w:r>
    </w:p>
    <w:p w14:paraId="5D7EB119">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1</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运动员招募</w:t>
      </w:r>
    </w:p>
    <w:p w14:paraId="15FA875D">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负责面向全国各水上运动协会、俱乐部、业余体校、桨板爱好者公开报名招募参赛运动员</w:t>
      </w:r>
      <w:r>
        <w:rPr>
          <w:rFonts w:hint="eastAsia" w:ascii="华文仿宋" w:hAnsi="华文仿宋" w:eastAsia="华文仿宋" w:cs="华文仿宋"/>
          <w:sz w:val="28"/>
          <w:szCs w:val="28"/>
          <w:lang w:val="en-US" w:eastAsia="zh-CN"/>
        </w:rPr>
        <w:t>不少于7</w:t>
      </w:r>
      <w:r>
        <w:rPr>
          <w:rFonts w:hint="eastAsia" w:ascii="华文仿宋" w:hAnsi="华文仿宋" w:eastAsia="华文仿宋" w:cs="华文仿宋"/>
          <w:sz w:val="28"/>
          <w:szCs w:val="28"/>
          <w:lang w:val="en-US" w:eastAsia="zh-Hans"/>
        </w:rPr>
        <w:t>00人。</w:t>
      </w:r>
    </w:p>
    <w:p w14:paraId="01C5A4AF">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Hans"/>
        </w:rPr>
        <w:t>2</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裁判员</w:t>
      </w:r>
      <w:r>
        <w:rPr>
          <w:rFonts w:hint="eastAsia" w:ascii="华文仿宋" w:hAnsi="华文仿宋" w:eastAsia="华文仿宋" w:cs="华文仿宋"/>
          <w:sz w:val="28"/>
          <w:szCs w:val="28"/>
          <w:lang w:val="en-US" w:eastAsia="zh-CN"/>
        </w:rPr>
        <w:t>组织</w:t>
      </w:r>
    </w:p>
    <w:p w14:paraId="41452FE5">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负责</w:t>
      </w:r>
      <w:r>
        <w:rPr>
          <w:rFonts w:hint="eastAsia" w:ascii="华文仿宋" w:hAnsi="华文仿宋" w:eastAsia="华文仿宋" w:cs="华文仿宋"/>
          <w:sz w:val="28"/>
          <w:szCs w:val="28"/>
          <w:lang w:val="en-US" w:eastAsia="zh-CN"/>
        </w:rPr>
        <w:t>组织</w:t>
      </w:r>
      <w:r>
        <w:rPr>
          <w:rFonts w:hint="eastAsia" w:ascii="华文仿宋" w:hAnsi="华文仿宋" w:eastAsia="华文仿宋" w:cs="华文仿宋"/>
          <w:sz w:val="28"/>
          <w:szCs w:val="28"/>
          <w:lang w:val="en-US" w:eastAsia="zh-Hans"/>
        </w:rPr>
        <w:t>不少于</w:t>
      </w: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val="en-US" w:eastAsia="zh-Hans"/>
        </w:rPr>
        <w:t>0名国家级专业裁判员负责赛事执裁工作，邀请不少于6名国家级专业救援人员负责赛事水域救援工作；并负担上述人员抵离赛区所需的交通费、劳务及保险等相关费用。</w:t>
      </w:r>
    </w:p>
    <w:p w14:paraId="1C3907CD">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3</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嘉宾邀请</w:t>
      </w:r>
    </w:p>
    <w:p w14:paraId="35DD2C3A">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负责邀请1～2位国家体育总局</w:t>
      </w:r>
      <w:r>
        <w:rPr>
          <w:rFonts w:hint="eastAsia" w:ascii="华文仿宋" w:hAnsi="华文仿宋" w:eastAsia="华文仿宋" w:cs="华文仿宋"/>
          <w:sz w:val="28"/>
          <w:szCs w:val="28"/>
          <w:lang w:val="en-US" w:eastAsia="zh-CN"/>
        </w:rPr>
        <w:t>水上运动管理中心</w:t>
      </w:r>
      <w:r>
        <w:rPr>
          <w:rFonts w:hint="eastAsia" w:ascii="华文仿宋" w:hAnsi="华文仿宋" w:eastAsia="华文仿宋" w:cs="华文仿宋"/>
          <w:sz w:val="28"/>
          <w:szCs w:val="28"/>
          <w:lang w:val="en-US" w:eastAsia="zh-Hans"/>
        </w:rPr>
        <w:t>相关领导出席现场活动；并负担上述人员抵离赛区所需的交通费、保险等相关费用。</w:t>
      </w:r>
    </w:p>
    <w:p w14:paraId="35D48FDB">
      <w:pPr>
        <w:numPr>
          <w:ilvl w:val="0"/>
          <w:numId w:val="0"/>
        </w:numPr>
        <w:bidi w:val="0"/>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sz w:val="28"/>
          <w:szCs w:val="28"/>
          <w:lang w:eastAsia="zh-Hans"/>
        </w:rPr>
        <w:t>（</w:t>
      </w:r>
      <w:r>
        <w:rPr>
          <w:rFonts w:hint="eastAsia" w:ascii="华文仿宋" w:hAnsi="华文仿宋" w:eastAsia="华文仿宋" w:cs="华文仿宋"/>
          <w:b/>
          <w:bCs/>
          <w:sz w:val="28"/>
          <w:szCs w:val="28"/>
          <w:lang w:val="en-US" w:eastAsia="zh-Hans"/>
        </w:rPr>
        <w:t>二</w:t>
      </w:r>
      <w:r>
        <w:rPr>
          <w:rFonts w:hint="eastAsia" w:ascii="华文仿宋" w:hAnsi="华文仿宋" w:eastAsia="华文仿宋" w:cs="华文仿宋"/>
          <w:b/>
          <w:bCs/>
          <w:sz w:val="28"/>
          <w:szCs w:val="28"/>
          <w:lang w:eastAsia="zh-Hans"/>
        </w:rPr>
        <w:t>）</w:t>
      </w:r>
      <w:r>
        <w:rPr>
          <w:rFonts w:hint="eastAsia" w:ascii="华文仿宋" w:hAnsi="华文仿宋" w:eastAsia="华文仿宋" w:cs="华文仿宋"/>
          <w:b/>
          <w:bCs/>
          <w:sz w:val="28"/>
          <w:szCs w:val="28"/>
          <w:lang w:val="en-US" w:eastAsia="zh-Hans"/>
        </w:rPr>
        <w:t>赛前筹备</w:t>
      </w:r>
    </w:p>
    <w:p w14:paraId="28AAE2D9">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负责赛事的整体策划、组织工作，负责编撰赛事各项方案（包括且不限于：活动方案、工作方案、后勤保障方案等）并组织实施，负责赛事信息的制定及发布。</w:t>
      </w:r>
    </w:p>
    <w:p w14:paraId="32A764E6">
      <w:pPr>
        <w:numPr>
          <w:ilvl w:val="0"/>
          <w:numId w:val="0"/>
        </w:numPr>
        <w:bidi w:val="0"/>
        <w:rPr>
          <w:rFonts w:hint="eastAsia" w:ascii="华文仿宋" w:hAnsi="华文仿宋" w:eastAsia="华文仿宋" w:cs="华文仿宋"/>
          <w:b/>
          <w:bCs/>
          <w:sz w:val="28"/>
          <w:szCs w:val="28"/>
          <w:lang w:val="en-US" w:eastAsia="zh-Hans"/>
        </w:rPr>
      </w:pPr>
      <w:r>
        <w:rPr>
          <w:rFonts w:hint="default" w:ascii="华文仿宋" w:hAnsi="华文仿宋" w:eastAsia="华文仿宋" w:cs="华文仿宋"/>
          <w:b/>
          <w:bCs/>
          <w:sz w:val="28"/>
          <w:szCs w:val="28"/>
          <w:lang w:val="en-US" w:eastAsia="zh-Hans"/>
        </w:rPr>
        <w:t>(</w:t>
      </w:r>
      <w:r>
        <w:rPr>
          <w:rFonts w:hint="eastAsia" w:ascii="华文仿宋" w:hAnsi="华文仿宋" w:eastAsia="华文仿宋" w:cs="华文仿宋"/>
          <w:b/>
          <w:bCs/>
          <w:sz w:val="28"/>
          <w:szCs w:val="28"/>
          <w:lang w:val="en-US" w:eastAsia="zh-CN"/>
        </w:rPr>
        <w:t>三</w:t>
      </w:r>
      <w:r>
        <w:rPr>
          <w:rFonts w:hint="default" w:ascii="华文仿宋" w:hAnsi="华文仿宋" w:eastAsia="华文仿宋" w:cs="华文仿宋"/>
          <w:b/>
          <w:bCs/>
          <w:sz w:val="28"/>
          <w:szCs w:val="28"/>
          <w:lang w:val="en-US" w:eastAsia="zh-Hans"/>
        </w:rPr>
        <w:t>)</w:t>
      </w:r>
      <w:r>
        <w:rPr>
          <w:rFonts w:hint="eastAsia" w:ascii="华文仿宋" w:hAnsi="华文仿宋" w:eastAsia="华文仿宋" w:cs="华文仿宋"/>
          <w:b/>
          <w:bCs/>
          <w:sz w:val="28"/>
          <w:szCs w:val="28"/>
          <w:lang w:val="en-US" w:eastAsia="zh-CN"/>
        </w:rPr>
        <w:t>赛道</w:t>
      </w:r>
      <w:r>
        <w:rPr>
          <w:rFonts w:hint="eastAsia" w:ascii="华文仿宋" w:hAnsi="华文仿宋" w:eastAsia="华文仿宋" w:cs="华文仿宋"/>
          <w:b/>
          <w:bCs/>
          <w:sz w:val="28"/>
          <w:szCs w:val="28"/>
          <w:lang w:val="en-US" w:eastAsia="zh-Hans"/>
        </w:rPr>
        <w:t>布置</w:t>
      </w:r>
    </w:p>
    <w:p w14:paraId="24513BE2">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负责赛道的整体设计和赛道防护用具安装事宜，包括但不限于：比赛航道、赛道指示牌、浮标、防护网等，确保赛道与场地的专业性与安全性。</w:t>
      </w:r>
    </w:p>
    <w:p w14:paraId="57168CEF">
      <w:pPr>
        <w:numPr>
          <w:ilvl w:val="0"/>
          <w:numId w:val="0"/>
        </w:numPr>
        <w:bidi w:val="0"/>
        <w:rPr>
          <w:rFonts w:hint="eastAsia" w:ascii="华文仿宋" w:hAnsi="华文仿宋" w:eastAsia="华文仿宋" w:cs="华文仿宋"/>
          <w:b/>
          <w:bCs/>
          <w:sz w:val="28"/>
          <w:szCs w:val="28"/>
          <w:lang w:val="en-US" w:eastAsia="zh-CN"/>
        </w:rPr>
      </w:pPr>
      <w:r>
        <w:rPr>
          <w:rFonts w:hint="eastAsia" w:ascii="华文仿宋" w:hAnsi="华文仿宋" w:eastAsia="华文仿宋" w:cs="华文仿宋"/>
          <w:b/>
          <w:bCs/>
          <w:sz w:val="28"/>
          <w:szCs w:val="28"/>
          <w:lang w:val="en-US" w:eastAsia="zh-CN"/>
        </w:rPr>
        <w:t>（四）竞赛物资</w:t>
      </w:r>
    </w:p>
    <w:p w14:paraId="74A79CC2">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1</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负责提供竞赛所需船艇（含：竞赛桨板、裁判用船、救生用船、媒体用船）。</w:t>
      </w:r>
    </w:p>
    <w:p w14:paraId="4E28E7B1">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2</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负责赛事整体VI设计,负责赛事用品的设计和制作事宜，包括但不限于：奖杯/奖牌、参赛证书、获奖证书、秩序册、竞赛指南、号码布、服装、背包、帽子、工作证件等。</w:t>
      </w:r>
    </w:p>
    <w:p w14:paraId="173DDADB">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3</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负责提供裁判器材（电子计时设备、对讲机、喊话器、望远镜、打印机、风速仪、电脑、办公用品等）。</w:t>
      </w:r>
    </w:p>
    <w:p w14:paraId="17304DA1">
      <w:pPr>
        <w:numPr>
          <w:ilvl w:val="0"/>
          <w:numId w:val="0"/>
        </w:numPr>
        <w:bidi w:val="0"/>
        <w:rPr>
          <w:rFonts w:hint="eastAsia" w:ascii="华文仿宋" w:hAnsi="华文仿宋" w:eastAsia="华文仿宋" w:cs="华文仿宋"/>
          <w:b/>
          <w:bCs/>
          <w:sz w:val="28"/>
          <w:szCs w:val="28"/>
          <w:lang w:val="en-US" w:eastAsia="zh-Hans"/>
        </w:rPr>
      </w:pPr>
      <w:r>
        <w:rPr>
          <w:rFonts w:hint="default" w:ascii="华文仿宋" w:hAnsi="华文仿宋" w:eastAsia="华文仿宋" w:cs="华文仿宋"/>
          <w:b/>
          <w:bCs/>
          <w:sz w:val="28"/>
          <w:szCs w:val="28"/>
          <w:lang w:val="en-US" w:eastAsia="zh-Hans"/>
        </w:rPr>
        <w:t>(</w:t>
      </w:r>
      <w:r>
        <w:rPr>
          <w:rFonts w:hint="eastAsia" w:ascii="华文仿宋" w:hAnsi="华文仿宋" w:eastAsia="华文仿宋" w:cs="华文仿宋"/>
          <w:b/>
          <w:bCs/>
          <w:sz w:val="28"/>
          <w:szCs w:val="28"/>
          <w:lang w:val="en-US" w:eastAsia="zh-CN"/>
        </w:rPr>
        <w:t>五</w:t>
      </w:r>
      <w:r>
        <w:rPr>
          <w:rFonts w:hint="default" w:ascii="华文仿宋" w:hAnsi="华文仿宋" w:eastAsia="华文仿宋" w:cs="华文仿宋"/>
          <w:b/>
          <w:bCs/>
          <w:sz w:val="28"/>
          <w:szCs w:val="28"/>
          <w:lang w:val="en-US" w:eastAsia="zh-Hans"/>
        </w:rPr>
        <w:t>)</w:t>
      </w:r>
      <w:r>
        <w:rPr>
          <w:rFonts w:hint="eastAsia" w:ascii="华文仿宋" w:hAnsi="华文仿宋" w:eastAsia="华文仿宋" w:cs="华文仿宋"/>
          <w:b/>
          <w:bCs/>
          <w:sz w:val="28"/>
          <w:szCs w:val="28"/>
          <w:lang w:val="en-US" w:eastAsia="zh-Hans"/>
        </w:rPr>
        <w:t>官方摄影摄像</w:t>
      </w:r>
    </w:p>
    <w:p w14:paraId="40A70C0A">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负责做好赛事图片、影像素材的拍摄、整理工作。</w:t>
      </w:r>
    </w:p>
    <w:p w14:paraId="69CCDC52">
      <w:pPr>
        <w:numPr>
          <w:ilvl w:val="0"/>
          <w:numId w:val="0"/>
        </w:numPr>
        <w:bidi w:val="0"/>
        <w:ind w:firstLine="420" w:firstLineChars="0"/>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Hans"/>
        </w:rPr>
        <w:t>负责赛事</w:t>
      </w:r>
      <w:r>
        <w:rPr>
          <w:rFonts w:hint="eastAsia" w:ascii="华文仿宋" w:hAnsi="华文仿宋" w:eastAsia="华文仿宋" w:cs="华文仿宋"/>
          <w:sz w:val="28"/>
          <w:szCs w:val="28"/>
          <w:lang w:val="en-US" w:eastAsia="zh-CN"/>
        </w:rPr>
        <w:t>影像资料拍摄、整理</w:t>
      </w:r>
      <w:r>
        <w:rPr>
          <w:rFonts w:hint="eastAsia" w:ascii="华文仿宋" w:hAnsi="华文仿宋" w:eastAsia="华文仿宋" w:cs="华文仿宋"/>
          <w:sz w:val="28"/>
          <w:szCs w:val="28"/>
          <w:lang w:val="en-US" w:eastAsia="zh-Hans"/>
        </w:rPr>
        <w:t>工作</w:t>
      </w:r>
      <w:r>
        <w:rPr>
          <w:rFonts w:hint="eastAsia" w:ascii="华文仿宋" w:hAnsi="华文仿宋" w:eastAsia="华文仿宋" w:cs="华文仿宋"/>
          <w:sz w:val="28"/>
          <w:szCs w:val="28"/>
          <w:lang w:val="en-US" w:eastAsia="zh-CN"/>
        </w:rPr>
        <w:t>。做好赛事全程图片直播，</w:t>
      </w:r>
      <w:r>
        <w:rPr>
          <w:rFonts w:hint="eastAsia" w:ascii="华文仿宋" w:hAnsi="华文仿宋" w:eastAsia="华文仿宋" w:cs="华文仿宋"/>
          <w:sz w:val="28"/>
          <w:szCs w:val="28"/>
          <w:lang w:val="en-US" w:eastAsia="zh-Hans"/>
        </w:rPr>
        <w:t>制作赛间花絮视频不少于</w:t>
      </w: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val="en-US" w:eastAsia="zh-Hans"/>
        </w:rPr>
        <w:t>个</w:t>
      </w:r>
      <w:r>
        <w:rPr>
          <w:rFonts w:hint="eastAsia" w:ascii="华文仿宋" w:hAnsi="华文仿宋" w:eastAsia="华文仿宋" w:cs="华文仿宋"/>
          <w:sz w:val="28"/>
          <w:szCs w:val="28"/>
          <w:lang w:val="en-US" w:eastAsia="zh-CN"/>
        </w:rPr>
        <w:t>/比赛日</w:t>
      </w:r>
      <w:r>
        <w:rPr>
          <w:rFonts w:hint="eastAsia" w:ascii="华文仿宋" w:hAnsi="华文仿宋" w:eastAsia="华文仿宋" w:cs="华文仿宋"/>
          <w:sz w:val="28"/>
          <w:szCs w:val="28"/>
          <w:lang w:val="en-US" w:eastAsia="zh-Hans"/>
        </w:rPr>
        <w:t>（单个视频时长不低于30秒）</w:t>
      </w:r>
      <w:r>
        <w:rPr>
          <w:rFonts w:hint="eastAsia" w:ascii="华文仿宋" w:hAnsi="华文仿宋" w:eastAsia="华文仿宋" w:cs="华文仿宋"/>
          <w:sz w:val="28"/>
          <w:szCs w:val="28"/>
          <w:lang w:val="en-US" w:eastAsia="zh-CN"/>
        </w:rPr>
        <w:t>，</w:t>
      </w:r>
      <w:r>
        <w:rPr>
          <w:rFonts w:hint="eastAsia" w:ascii="华文仿宋" w:hAnsi="华文仿宋" w:eastAsia="华文仿宋" w:cs="华文仿宋"/>
          <w:sz w:val="28"/>
          <w:szCs w:val="28"/>
          <w:lang w:val="en-US" w:eastAsia="zh-Hans"/>
        </w:rPr>
        <w:t>赛事精彩视频集锦1个（单个视频时长不低于3分钟）</w:t>
      </w:r>
      <w:r>
        <w:rPr>
          <w:rFonts w:hint="eastAsia" w:ascii="华文仿宋" w:hAnsi="华文仿宋" w:eastAsia="华文仿宋" w:cs="华文仿宋"/>
          <w:sz w:val="28"/>
          <w:szCs w:val="28"/>
          <w:lang w:val="en-US" w:eastAsia="zh-CN"/>
        </w:rPr>
        <w:t>。</w:t>
      </w:r>
    </w:p>
    <w:p w14:paraId="0EE103FF">
      <w:pPr>
        <w:numPr>
          <w:ilvl w:val="0"/>
          <w:numId w:val="0"/>
        </w:numPr>
        <w:bidi w:val="0"/>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sz w:val="28"/>
          <w:szCs w:val="28"/>
          <w:lang w:val="en-US" w:eastAsia="zh-CN"/>
        </w:rPr>
        <w:t>（六）</w:t>
      </w:r>
      <w:r>
        <w:rPr>
          <w:rFonts w:hint="eastAsia" w:ascii="华文仿宋" w:hAnsi="华文仿宋" w:eastAsia="华文仿宋" w:cs="华文仿宋"/>
          <w:b/>
          <w:bCs/>
          <w:sz w:val="28"/>
          <w:szCs w:val="28"/>
          <w:lang w:val="en-US" w:eastAsia="zh-Hans"/>
        </w:rPr>
        <w:t>后勤保障</w:t>
      </w:r>
    </w:p>
    <w:p w14:paraId="43913D93">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1</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负责制定赛事相关人员在赛区的住宿、餐饮和交通服务工作计划，全面做好赛事后勤服务保障工作，相关费用由采购方负责。</w:t>
      </w:r>
    </w:p>
    <w:p w14:paraId="30B9D039">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2</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负责做好赛时补给、赛场饮用水保障工作，相关费用由采购方负责。</w:t>
      </w:r>
    </w:p>
    <w:p w14:paraId="30D8A3AD">
      <w:pPr>
        <w:numPr>
          <w:ilvl w:val="0"/>
          <w:numId w:val="0"/>
        </w:numPr>
        <w:bidi w:val="0"/>
        <w:rPr>
          <w:rFonts w:hint="eastAsia" w:ascii="华文仿宋" w:hAnsi="华文仿宋" w:eastAsia="华文仿宋" w:cs="华文仿宋"/>
          <w:b/>
          <w:bCs/>
          <w:sz w:val="28"/>
          <w:szCs w:val="28"/>
          <w:lang w:val="en-US" w:eastAsia="zh-Hans"/>
        </w:rPr>
      </w:pPr>
      <w:r>
        <w:rPr>
          <w:rFonts w:hint="default" w:ascii="华文仿宋" w:hAnsi="华文仿宋" w:eastAsia="华文仿宋" w:cs="华文仿宋"/>
          <w:b/>
          <w:bCs/>
          <w:sz w:val="28"/>
          <w:szCs w:val="28"/>
          <w:lang w:val="en-US" w:eastAsia="zh-Hans"/>
        </w:rPr>
        <w:t>(</w:t>
      </w:r>
      <w:r>
        <w:rPr>
          <w:rFonts w:hint="eastAsia" w:ascii="华文仿宋" w:hAnsi="华文仿宋" w:eastAsia="华文仿宋" w:cs="华文仿宋"/>
          <w:b/>
          <w:bCs/>
          <w:sz w:val="28"/>
          <w:szCs w:val="28"/>
          <w:lang w:val="en-US" w:eastAsia="zh-CN"/>
        </w:rPr>
        <w:t>七</w:t>
      </w:r>
      <w:r>
        <w:rPr>
          <w:rFonts w:hint="default" w:ascii="华文仿宋" w:hAnsi="华文仿宋" w:eastAsia="华文仿宋" w:cs="华文仿宋"/>
          <w:b/>
          <w:bCs/>
          <w:sz w:val="28"/>
          <w:szCs w:val="28"/>
          <w:lang w:val="en-US" w:eastAsia="zh-Hans"/>
        </w:rPr>
        <w:t>)</w:t>
      </w:r>
      <w:r>
        <w:rPr>
          <w:rFonts w:hint="eastAsia" w:ascii="华文仿宋" w:hAnsi="华文仿宋" w:eastAsia="华文仿宋" w:cs="华文仿宋"/>
          <w:b/>
          <w:bCs/>
          <w:sz w:val="28"/>
          <w:szCs w:val="28"/>
          <w:lang w:val="en-US" w:eastAsia="zh-Hans"/>
        </w:rPr>
        <w:t>活动礼仪</w:t>
      </w:r>
    </w:p>
    <w:p w14:paraId="2D492ADC">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负责协助采购方做好赛事相关配套活动的组织工作，包括但不限于：赛事开幕式、颁奖仪式等。</w:t>
      </w:r>
    </w:p>
    <w:p w14:paraId="53B32C04">
      <w:pPr>
        <w:numPr>
          <w:ilvl w:val="0"/>
          <w:numId w:val="0"/>
        </w:numPr>
        <w:bidi w:val="0"/>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sz w:val="28"/>
          <w:szCs w:val="28"/>
          <w:lang w:val="en-US" w:eastAsia="zh-CN"/>
        </w:rPr>
        <w:t>（八）</w:t>
      </w:r>
      <w:r>
        <w:rPr>
          <w:rFonts w:hint="eastAsia" w:ascii="华文仿宋" w:hAnsi="华文仿宋" w:eastAsia="华文仿宋" w:cs="华文仿宋"/>
          <w:b/>
          <w:bCs/>
          <w:sz w:val="28"/>
          <w:szCs w:val="28"/>
          <w:lang w:val="en-US" w:eastAsia="zh-Hans"/>
        </w:rPr>
        <w:t>知识产权</w:t>
      </w:r>
    </w:p>
    <w:p w14:paraId="553A1C55">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3E2BCFE1">
      <w:pPr>
        <w:numPr>
          <w:ilvl w:val="0"/>
          <w:numId w:val="0"/>
        </w:numPr>
        <w:bidi w:val="0"/>
        <w:rPr>
          <w:rFonts w:hint="eastAsia" w:ascii="华文仿宋" w:hAnsi="华文仿宋" w:eastAsia="华文仿宋" w:cs="华文仿宋"/>
          <w:b/>
          <w:bCs/>
          <w:sz w:val="28"/>
          <w:szCs w:val="28"/>
          <w:lang w:val="en-US" w:eastAsia="zh-CN"/>
        </w:rPr>
      </w:pPr>
      <w:bookmarkStart w:id="27" w:name="_Toc227397571"/>
      <w:r>
        <w:rPr>
          <w:rFonts w:hint="eastAsia" w:ascii="华文仿宋" w:hAnsi="华文仿宋" w:eastAsia="华文仿宋" w:cs="华文仿宋"/>
          <w:b/>
          <w:bCs/>
          <w:sz w:val="28"/>
          <w:szCs w:val="28"/>
          <w:lang w:val="en-US" w:eastAsia="zh-CN"/>
        </w:rPr>
        <w:t>（九）保险与担保</w:t>
      </w:r>
      <w:bookmarkEnd w:id="27"/>
    </w:p>
    <w:p w14:paraId="1DBD76AC">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1</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负责赛事相关人员的人身意外险、公众责任险的购买事宜。</w:t>
      </w:r>
    </w:p>
    <w:p w14:paraId="72BBDD48">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2</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CN"/>
        </w:rPr>
        <w:t>投标方</w:t>
      </w:r>
      <w:r>
        <w:rPr>
          <w:rFonts w:hint="eastAsia" w:ascii="华文仿宋" w:hAnsi="华文仿宋" w:eastAsia="华文仿宋" w:cs="华文仿宋"/>
          <w:sz w:val="28"/>
          <w:szCs w:val="28"/>
          <w:lang w:val="en-US" w:eastAsia="zh-Hans"/>
        </w:rPr>
        <w:t>保证采购人及</w:t>
      </w:r>
      <w:r>
        <w:rPr>
          <w:rFonts w:hint="eastAsia" w:ascii="华文仿宋" w:hAnsi="华文仿宋" w:eastAsia="华文仿宋" w:cs="华文仿宋"/>
          <w:sz w:val="28"/>
          <w:szCs w:val="28"/>
          <w:lang w:val="en-US" w:eastAsia="zh-CN"/>
        </w:rPr>
        <w:t>招标方</w:t>
      </w:r>
      <w:r>
        <w:rPr>
          <w:rFonts w:hint="eastAsia" w:ascii="华文仿宋" w:hAnsi="华文仿宋" w:eastAsia="华文仿宋" w:cs="华文仿宋"/>
          <w:sz w:val="28"/>
          <w:szCs w:val="28"/>
          <w:lang w:val="en-US" w:eastAsia="zh-Hans"/>
        </w:rPr>
        <w:t>免于承受</w:t>
      </w:r>
      <w:r>
        <w:rPr>
          <w:rFonts w:hint="eastAsia" w:ascii="华文仿宋" w:hAnsi="华文仿宋" w:eastAsia="华文仿宋" w:cs="华文仿宋"/>
          <w:sz w:val="28"/>
          <w:szCs w:val="28"/>
          <w:lang w:val="en-US" w:eastAsia="zh-CN"/>
        </w:rPr>
        <w:t>一切执行合同过程中</w:t>
      </w:r>
      <w:r>
        <w:rPr>
          <w:rFonts w:hint="eastAsia" w:ascii="华文仿宋" w:hAnsi="华文仿宋" w:eastAsia="华文仿宋" w:cs="华文仿宋"/>
          <w:sz w:val="28"/>
          <w:szCs w:val="28"/>
          <w:lang w:val="en-US" w:eastAsia="zh-Hans"/>
        </w:rPr>
        <w:t>所引起的损失、索赔以及与此有关的索赔、诉讼、损害赔偿等</w:t>
      </w:r>
      <w:r>
        <w:rPr>
          <w:rFonts w:hint="eastAsia" w:ascii="华文仿宋" w:hAnsi="华文仿宋" w:eastAsia="华文仿宋" w:cs="华文仿宋"/>
          <w:sz w:val="28"/>
          <w:szCs w:val="28"/>
          <w:lang w:val="en-US" w:eastAsia="zh-CN"/>
        </w:rPr>
        <w:t>。</w:t>
      </w:r>
    </w:p>
    <w:p w14:paraId="13CFB138">
      <w:pPr>
        <w:numPr>
          <w:ilvl w:val="0"/>
          <w:numId w:val="0"/>
        </w:numPr>
        <w:bidi w:val="0"/>
        <w:rPr>
          <w:rFonts w:hint="eastAsia" w:ascii="华文仿宋" w:hAnsi="华文仿宋" w:eastAsia="华文仿宋" w:cs="华文仿宋"/>
          <w:b/>
          <w:bCs/>
          <w:sz w:val="28"/>
          <w:szCs w:val="28"/>
          <w:lang w:val="en-US" w:eastAsia="zh-Hans"/>
        </w:rPr>
      </w:pPr>
      <w:r>
        <w:rPr>
          <w:rFonts w:hint="eastAsia" w:ascii="华文仿宋" w:hAnsi="华文仿宋" w:eastAsia="华文仿宋" w:cs="华文仿宋"/>
          <w:b/>
          <w:bCs/>
          <w:sz w:val="28"/>
          <w:szCs w:val="28"/>
          <w:lang w:val="en-US" w:eastAsia="zh-Hans"/>
        </w:rPr>
        <w:t>三、</w:t>
      </w:r>
      <w:r>
        <w:rPr>
          <w:rFonts w:hint="eastAsia" w:ascii="华文仿宋" w:hAnsi="华文仿宋" w:eastAsia="华文仿宋" w:cs="华文仿宋"/>
          <w:b/>
          <w:bCs/>
          <w:sz w:val="28"/>
          <w:szCs w:val="28"/>
          <w:lang w:val="en-US" w:eastAsia="zh-CN"/>
        </w:rPr>
        <w:t>其他</w:t>
      </w:r>
      <w:r>
        <w:rPr>
          <w:rFonts w:hint="eastAsia" w:ascii="华文仿宋" w:hAnsi="华文仿宋" w:eastAsia="华文仿宋" w:cs="华文仿宋"/>
          <w:b/>
          <w:bCs/>
          <w:sz w:val="28"/>
          <w:szCs w:val="28"/>
          <w:lang w:val="en-US" w:eastAsia="zh-Hans"/>
        </w:rPr>
        <w:t>要求</w:t>
      </w:r>
    </w:p>
    <w:p w14:paraId="35DA748B">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1</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服务期限：自合同签署生效之日起至本项目工作全部结束止。</w:t>
      </w:r>
    </w:p>
    <w:p w14:paraId="14EB9F16">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2</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服务地点：</w:t>
      </w:r>
      <w:r>
        <w:rPr>
          <w:rFonts w:hint="eastAsia" w:ascii="华文仿宋" w:hAnsi="华文仿宋" w:eastAsia="华文仿宋" w:cs="华文仿宋"/>
          <w:sz w:val="28"/>
          <w:szCs w:val="28"/>
          <w:lang w:val="en-US" w:eastAsia="zh-CN"/>
        </w:rPr>
        <w:t>河南省三门峡市陕州区</w:t>
      </w:r>
      <w:r>
        <w:rPr>
          <w:rFonts w:hint="eastAsia" w:ascii="华文仿宋" w:hAnsi="华文仿宋" w:eastAsia="华文仿宋" w:cs="华文仿宋"/>
          <w:sz w:val="28"/>
          <w:szCs w:val="28"/>
          <w:lang w:val="en-US" w:eastAsia="zh-Hans"/>
        </w:rPr>
        <w:t>。</w:t>
      </w:r>
    </w:p>
    <w:p w14:paraId="238551C6">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3</w:t>
      </w:r>
      <w:r>
        <w:rPr>
          <w:rFonts w:hint="default" w:ascii="华文仿宋" w:hAnsi="华文仿宋" w:eastAsia="华文仿宋" w:cs="华文仿宋"/>
          <w:sz w:val="28"/>
          <w:szCs w:val="28"/>
          <w:lang w:val="en-US" w:eastAsia="zh-Hans"/>
        </w:rPr>
        <w:t>.</w:t>
      </w:r>
      <w:r>
        <w:rPr>
          <w:rFonts w:hint="eastAsia" w:ascii="华文仿宋" w:hAnsi="华文仿宋" w:eastAsia="华文仿宋" w:cs="华文仿宋"/>
          <w:sz w:val="28"/>
          <w:szCs w:val="28"/>
          <w:lang w:val="en-US" w:eastAsia="zh-Hans"/>
        </w:rPr>
        <w:t>付款条件（进度和方式）：以合同签订为准。</w:t>
      </w:r>
    </w:p>
    <w:p w14:paraId="3C989220">
      <w:pPr>
        <w:numPr>
          <w:ilvl w:val="0"/>
          <w:numId w:val="0"/>
        </w:numPr>
        <w:bidi w:val="0"/>
        <w:ind w:firstLine="420" w:firstLineChars="0"/>
        <w:rPr>
          <w:rFonts w:hint="eastAsia" w:ascii="华文仿宋" w:hAnsi="华文仿宋" w:eastAsia="华文仿宋" w:cs="华文仿宋"/>
          <w:sz w:val="28"/>
          <w:szCs w:val="28"/>
          <w:lang w:val="en-US" w:eastAsia="zh-Hans"/>
        </w:rPr>
      </w:pPr>
      <w:r>
        <w:rPr>
          <w:rFonts w:hint="eastAsia" w:ascii="华文仿宋" w:hAnsi="华文仿宋" w:eastAsia="华文仿宋" w:cs="华文仿宋"/>
          <w:sz w:val="28"/>
          <w:szCs w:val="28"/>
          <w:lang w:val="en-US" w:eastAsia="zh-Hans"/>
        </w:rPr>
        <w:t>4.验收标准：按磋商文件的服务要求及成交供应商的响应文件及承诺等进行验收。</w:t>
      </w:r>
    </w:p>
    <w:p w14:paraId="0230C0B0">
      <w:pPr>
        <w:bidi w:val="0"/>
        <w:ind w:firstLine="420" w:firstLineChars="0"/>
        <w:rPr>
          <w:rFonts w:hint="eastAsia" w:ascii="宋体" w:hAnsi="宋体" w:eastAsia="华文仿宋" w:cs="Times New Roman"/>
          <w:b/>
          <w:color w:val="000000" w:themeColor="text1"/>
          <w:sz w:val="36"/>
          <w:szCs w:val="36"/>
          <w:lang w:eastAsia="zh-CN"/>
          <w14:textFill>
            <w14:solidFill>
              <w14:schemeClr w14:val="tx1"/>
            </w14:solidFill>
          </w14:textFill>
        </w:rPr>
      </w:pPr>
    </w:p>
    <w:p w14:paraId="6D2B35E8">
      <w:pPr>
        <w:rPr>
          <w:rFonts w:hint="eastAsia" w:ascii="宋体" w:hAnsi="宋体" w:eastAsia="宋体" w:cs="Times New Roman"/>
          <w:b/>
          <w:color w:val="000000" w:themeColor="text1"/>
          <w:sz w:val="36"/>
          <w:szCs w:val="36"/>
          <w14:textFill>
            <w14:solidFill>
              <w14:schemeClr w14:val="tx1"/>
            </w14:solidFill>
          </w14:textFill>
        </w:rPr>
      </w:pPr>
      <w:r>
        <w:rPr>
          <w:rFonts w:hint="eastAsia" w:ascii="宋体" w:hAnsi="宋体" w:eastAsia="宋体" w:cs="Times New Roman"/>
          <w:b/>
          <w:color w:val="000000" w:themeColor="text1"/>
          <w:sz w:val="36"/>
          <w:szCs w:val="36"/>
          <w14:textFill>
            <w14:solidFill>
              <w14:schemeClr w14:val="tx1"/>
            </w14:solidFill>
          </w14:textFill>
        </w:rPr>
        <w:br w:type="page"/>
      </w:r>
    </w:p>
    <w:p w14:paraId="3361FDED">
      <w:pPr>
        <w:widowControl/>
        <w:jc w:val="center"/>
        <w:outlineLvl w:val="0"/>
        <w:rPr>
          <w:rFonts w:ascii="宋体" w:hAnsi="宋体" w:eastAsia="宋体" w:cs="Times New Roman"/>
          <w:b/>
          <w:color w:val="000000" w:themeColor="text1"/>
          <w:sz w:val="36"/>
          <w:szCs w:val="36"/>
          <w14:textFill>
            <w14:solidFill>
              <w14:schemeClr w14:val="tx1"/>
            </w14:solidFill>
          </w14:textFill>
        </w:rPr>
      </w:pPr>
      <w:bookmarkStart w:id="28" w:name="_Toc4135"/>
      <w:r>
        <w:rPr>
          <w:rFonts w:hint="eastAsia" w:ascii="宋体" w:hAnsi="宋体" w:eastAsia="宋体" w:cs="Times New Roman"/>
          <w:b/>
          <w:color w:val="000000" w:themeColor="text1"/>
          <w:sz w:val="36"/>
          <w:szCs w:val="36"/>
          <w14:textFill>
            <w14:solidFill>
              <w14:schemeClr w14:val="tx1"/>
            </w14:solidFill>
          </w14:textFill>
        </w:rPr>
        <w:t>第四章  合同条款及合同文件格式</w:t>
      </w:r>
      <w:bookmarkEnd w:id="26"/>
      <w:bookmarkEnd w:id="28"/>
    </w:p>
    <w:p w14:paraId="42FB1F5E">
      <w:pPr>
        <w:widowControl/>
        <w:spacing w:line="600" w:lineRule="exact"/>
        <w:jc w:val="center"/>
        <w:rPr>
          <w:rFonts w:ascii="宋体" w:hAnsi="宋体" w:eastAsia="宋体" w:cs="宋体"/>
          <w:kern w:val="0"/>
          <w:sz w:val="28"/>
          <w:szCs w:val="28"/>
        </w:rPr>
      </w:pPr>
      <w:r>
        <w:rPr>
          <w:rFonts w:hint="eastAsia" w:ascii="宋体" w:hAnsi="宋体" w:eastAsia="宋体" w:cs="宋体"/>
          <w:kern w:val="0"/>
          <w:sz w:val="28"/>
          <w:szCs w:val="28"/>
        </w:rPr>
        <w:t>（采购人可根据采购项目的实际情况增减条款和内容）</w:t>
      </w:r>
    </w:p>
    <w:p w14:paraId="3E9DE987">
      <w:pPr>
        <w:widowControl/>
        <w:spacing w:line="600" w:lineRule="exact"/>
        <w:jc w:val="center"/>
        <w:rPr>
          <w:rFonts w:ascii="宋体" w:hAnsi="宋体" w:eastAsia="宋体" w:cs="宋体"/>
          <w:kern w:val="0"/>
          <w:sz w:val="28"/>
          <w:szCs w:val="28"/>
        </w:rPr>
      </w:pPr>
      <w:r>
        <w:rPr>
          <w:rFonts w:hint="eastAsia" w:ascii="宋体" w:hAnsi="宋体" w:eastAsia="宋体" w:cs="宋体"/>
          <w:kern w:val="0"/>
          <w:sz w:val="28"/>
          <w:szCs w:val="28"/>
        </w:rPr>
        <w:t>（合同格式仅供参考）</w:t>
      </w:r>
    </w:p>
    <w:p w14:paraId="1518C5F2">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  方：</w:t>
      </w:r>
    </w:p>
    <w:p w14:paraId="0AFF887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 xml:space="preserve">乙  方： </w:t>
      </w:r>
    </w:p>
    <w:p w14:paraId="7749BBC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甲方名称根据的批复，组织对***项目进行竞争性磋商，招标编号（），于年月日通过竞争性磋商，确定乙方为***项目中标人。为了保护供需各方合法权益,根据《中华人民共和国政府采购法》、《中华人民共和国</w:t>
      </w:r>
      <w:r>
        <w:rPr>
          <w:rFonts w:hint="eastAsia" w:ascii="宋体" w:hAnsi="宋体" w:eastAsia="宋体" w:cs="宋体"/>
          <w:kern w:val="0"/>
          <w:sz w:val="28"/>
          <w:szCs w:val="28"/>
          <w:lang w:val="en-US" w:eastAsia="zh-CN"/>
        </w:rPr>
        <w:t>民法典</w:t>
      </w:r>
      <w:r>
        <w:rPr>
          <w:rFonts w:hint="eastAsia" w:ascii="宋体" w:hAnsi="宋体" w:eastAsia="宋体" w:cs="宋体"/>
          <w:kern w:val="0"/>
          <w:sz w:val="28"/>
          <w:szCs w:val="28"/>
        </w:rPr>
        <w:t xml:space="preserve">》等相关法律、法规的规定，并严格遵循政府采购项目采购文件的相关规定，经甲乙双方协商一致，订立本合同。 </w:t>
      </w:r>
    </w:p>
    <w:p w14:paraId="2E6793B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一、项目概况、合同金额（详见报价表，附后）</w:t>
      </w:r>
    </w:p>
    <w:p w14:paraId="693C363D">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1.项目编号：。</w:t>
      </w:r>
    </w:p>
    <w:p w14:paraId="0D69E386">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2.项目名称：。</w:t>
      </w:r>
    </w:p>
    <w:p w14:paraId="1C0D149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3.具体内容：（详见乙方报价表）</w:t>
      </w:r>
    </w:p>
    <w:p w14:paraId="10E665B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4.合同金额：人民币元（大写：），以上价格以人民币结算。</w:t>
      </w:r>
    </w:p>
    <w:p w14:paraId="61CBE14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二、付款方式</w:t>
      </w:r>
    </w:p>
    <w:p w14:paraId="792A4CEC">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三、交货时间、交货地点</w:t>
      </w:r>
    </w:p>
    <w:p w14:paraId="6B6E1E4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1.交货时间：     年   月   日。</w:t>
      </w:r>
    </w:p>
    <w:p w14:paraId="27D1F852">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2.交货地点：采购人指定地点</w:t>
      </w:r>
    </w:p>
    <w:p w14:paraId="49D77D9E">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四、履约验收</w:t>
      </w:r>
    </w:p>
    <w:p w14:paraId="52B2774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1.乙方提供的产品为原装正品，各项指标符合出产国检测标准和出厂标准，各项技术参数符合竞争性磋商文件要求和乙方响应文件承诺。</w:t>
      </w:r>
    </w:p>
    <w:p w14:paraId="35F047C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2.乙方所交产品不符合规定或质量不合格的，由乙方负责包换，并承担换货而支付的一切费用。乙方不能调换的，按不能交货处理。</w:t>
      </w:r>
    </w:p>
    <w:p w14:paraId="6FAB597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3.乙方应保证所提供的设备不侵犯第三方的专利权、商标权、著作权或其他知识产权。若乙方的行为侵犯了第三方的前述权利，并造成了第三方追究甲方的责任，甲方为此所受到的损失，应由乙方承担。</w:t>
      </w:r>
    </w:p>
    <w:p w14:paraId="7543B919">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4.甲方按国家相关标准和本竞争性磋商文件的相关要求自行组织有关专业人员验收。</w:t>
      </w:r>
    </w:p>
    <w:p w14:paraId="79CEEB8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5.验收内容：所采购的数量、参数标准、规格和质量。</w:t>
      </w:r>
    </w:p>
    <w:p w14:paraId="6CE2432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lang w:eastAsia="zh-CN"/>
        </w:rPr>
        <w:t>五</w:t>
      </w:r>
      <w:r>
        <w:rPr>
          <w:rFonts w:hint="eastAsia" w:ascii="宋体" w:hAnsi="宋体" w:eastAsia="宋体" w:cs="宋体"/>
          <w:kern w:val="0"/>
          <w:sz w:val="28"/>
          <w:szCs w:val="28"/>
        </w:rPr>
        <w:t>、相关权利及义务</w:t>
      </w:r>
    </w:p>
    <w:p w14:paraId="0002BA88">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1.甲方在验收时对不符合竞争性磋商文件要求的产品有权拒绝接收和追究违约责任。</w:t>
      </w:r>
    </w:p>
    <w:p w14:paraId="59B45A02">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2.甲方有权监督乙方的售后服务，并对乙方的售后服务不符合响应文件承诺内容时加以指出乃至追究合同责任。</w:t>
      </w:r>
    </w:p>
    <w:p w14:paraId="0086A776">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3.甲方在合同规定期限内协助履行付款责任。</w:t>
      </w:r>
    </w:p>
    <w:p w14:paraId="4868104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4.甲方对乙方的技术及商业机密予以保密。</w:t>
      </w:r>
    </w:p>
    <w:p w14:paraId="6A73CA7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5.乙方有权按照合同要求及时支付相应合同款项。</w:t>
      </w:r>
    </w:p>
    <w:p w14:paraId="5A7D2F7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6.乙方有义务按响应文件中的售后服务承诺提供良好的服务。</w:t>
      </w:r>
    </w:p>
    <w:p w14:paraId="226CD966">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七、违约责任</w:t>
      </w:r>
    </w:p>
    <w:p w14:paraId="2660CAF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乙双方均应遵守本合同，如有违约，将赔偿因违约给对方造成的经济损失，并向对方支付本合同总额5%的违约金。若因乙方原因在合同规定期限内无法交货，甲方有权终止合同。甲方将视情况在延迟交货期内每天按合同总额3‰的标准收取违约金，并提请政府采购监管部门将其列入不良行为记录。因不可抗力所导致的交货及付款延迟等按照《中华人民共和国合同法》有关条文及本合同第八条处理。</w:t>
      </w:r>
    </w:p>
    <w:p w14:paraId="7208A06D">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八、不可抗力</w:t>
      </w:r>
    </w:p>
    <w:p w14:paraId="09B166A9">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甲方由于不可抗力的原因不能履行合同时，应及时向乙方通报不能履行或不能完全履行的理由；乙方由于不可抗力的原因不能履行合同时，应在交货时间到期以前及时向甲方通报不能履行或不能完全履行的理由；在取得有关主管机关证明以后，可以签订延期履行、部分履行补充合同或者不履行合同，并根据情况可部分或全部免予承担违约责任。</w:t>
      </w:r>
    </w:p>
    <w:p w14:paraId="111E470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九、争议</w:t>
      </w:r>
    </w:p>
    <w:p w14:paraId="77C6649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双方本着友好合作的态度，对合同履行过程中发生的违约行为进行及时的协商解决，如不能协商解决可向甲方所在地人民法院提起诉讼。</w:t>
      </w:r>
    </w:p>
    <w:p w14:paraId="1B4AFA55">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十、其它</w:t>
      </w:r>
    </w:p>
    <w:p w14:paraId="35FBD504">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1.本合同一式陆份，甲方叁份，乙方叁份。</w:t>
      </w:r>
    </w:p>
    <w:p w14:paraId="0AA833BA">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2.本合同自双方签订之日起生效。</w:t>
      </w:r>
    </w:p>
    <w:p w14:paraId="5C4E772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3.本项目竞争性磋商文件、响应文件等是本合同的附件，与合同具有同等的法律效力。</w:t>
      </w:r>
    </w:p>
    <w:p w14:paraId="15C7FDF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4.其它未尽事宜，由甲乙双方友好协商解决，并参照《中华人民共和国合同法》有关条款执行。</w:t>
      </w:r>
    </w:p>
    <w:p w14:paraId="233500D7">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委托人（盖章）：                     受托人（盖章）：</w:t>
      </w:r>
    </w:p>
    <w:p w14:paraId="57E81FF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法定代表人（签字或盖章）：           法定代表人（签字或盖章）：</w:t>
      </w:r>
    </w:p>
    <w:p w14:paraId="64E93AA1">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或授权委托人（签字或盖章）：         或授权委托人（签字或盖章）：</w:t>
      </w:r>
    </w:p>
    <w:p w14:paraId="6E4E3150">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单位地址：                          单位地址：</w:t>
      </w:r>
    </w:p>
    <w:p w14:paraId="6F9F9F63">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邮政编码：                          邮政编码：</w:t>
      </w:r>
    </w:p>
    <w:p w14:paraId="708400D6">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联系电话：                          联系电话：</w:t>
      </w:r>
    </w:p>
    <w:p w14:paraId="469F7A3F">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传    真：                          传    真：</w:t>
      </w:r>
    </w:p>
    <w:p w14:paraId="4C46DCC6">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电子信箱：                          电子信箱：</w:t>
      </w:r>
    </w:p>
    <w:p w14:paraId="46F4441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开户银行：                          开户银行：</w:t>
      </w:r>
    </w:p>
    <w:p w14:paraId="2E777ACB">
      <w:pPr>
        <w:widowControl/>
        <w:spacing w:line="600" w:lineRule="exact"/>
        <w:ind w:firstLine="560" w:firstLineChars="200"/>
        <w:jc w:val="left"/>
        <w:rPr>
          <w:rFonts w:ascii="宋体" w:hAnsi="宋体" w:eastAsia="宋体" w:cs="宋体"/>
          <w:kern w:val="0"/>
          <w:sz w:val="28"/>
          <w:szCs w:val="28"/>
        </w:rPr>
      </w:pPr>
      <w:r>
        <w:rPr>
          <w:rFonts w:hint="eastAsia" w:ascii="宋体" w:hAnsi="宋体" w:eastAsia="宋体" w:cs="宋体"/>
          <w:kern w:val="0"/>
          <w:sz w:val="28"/>
          <w:szCs w:val="28"/>
        </w:rPr>
        <w:t>账    号：                          账    号：</w:t>
      </w:r>
    </w:p>
    <w:p w14:paraId="21968054">
      <w:pPr>
        <w:spacing w:line="500" w:lineRule="exact"/>
        <w:ind w:firstLine="638" w:firstLineChars="228"/>
        <w:rPr>
          <w:rFonts w:ascii="仿宋_GB2312" w:hAnsi="仿宋_GB2312" w:eastAsia="仿宋_GB2312" w:cs="仿宋_GB2312"/>
          <w:color w:val="000000" w:themeColor="text1"/>
          <w:sz w:val="28"/>
          <w:szCs w:val="28"/>
          <w14:textFill>
            <w14:solidFill>
              <w14:schemeClr w14:val="tx1"/>
            </w14:solidFill>
          </w14:textFill>
        </w:rPr>
      </w:pPr>
      <w:r>
        <w:rPr>
          <w:rFonts w:hint="eastAsia" w:ascii="Times New Roman" w:hAnsi="Times New Roman" w:eastAsia="宋体" w:cs="Times New Roman"/>
          <w:sz w:val="28"/>
          <w:szCs w:val="28"/>
        </w:rPr>
        <w:br w:type="page"/>
      </w:r>
    </w:p>
    <w:p w14:paraId="0BFDEBB5">
      <w:pPr>
        <w:jc w:val="center"/>
        <w:outlineLvl w:val="0"/>
        <w:rPr>
          <w:rFonts w:ascii="宋体" w:hAnsi="宋体" w:eastAsia="宋体" w:cs="Times New Roman"/>
          <w:b/>
          <w:color w:val="000000" w:themeColor="text1"/>
          <w:sz w:val="32"/>
          <w:szCs w:val="32"/>
          <w14:textFill>
            <w14:solidFill>
              <w14:schemeClr w14:val="tx1"/>
            </w14:solidFill>
          </w14:textFill>
        </w:rPr>
      </w:pPr>
      <w:bookmarkStart w:id="29" w:name="_Toc13563"/>
      <w:r>
        <w:rPr>
          <w:rFonts w:hint="eastAsia" w:ascii="宋体" w:hAnsi="宋体" w:eastAsia="宋体" w:cs="Times New Roman"/>
          <w:b/>
          <w:color w:val="000000" w:themeColor="text1"/>
          <w:sz w:val="32"/>
          <w:szCs w:val="32"/>
          <w14:textFill>
            <w14:solidFill>
              <w14:schemeClr w14:val="tx1"/>
            </w14:solidFill>
          </w14:textFill>
        </w:rPr>
        <w:t>第五章  评审标准</w:t>
      </w:r>
      <w:bookmarkEnd w:id="29"/>
    </w:p>
    <w:tbl>
      <w:tblPr>
        <w:tblStyle w:val="12"/>
        <w:tblW w:w="10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171"/>
        <w:gridCol w:w="2546"/>
        <w:gridCol w:w="6012"/>
      </w:tblGrid>
      <w:tr w14:paraId="21556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248" w:type="dxa"/>
            <w:gridSpan w:val="2"/>
            <w:tcBorders>
              <w:top w:val="single" w:color="auto" w:sz="4" w:space="0"/>
              <w:left w:val="single" w:color="auto" w:sz="4" w:space="0"/>
              <w:bottom w:val="single" w:color="auto" w:sz="4" w:space="0"/>
              <w:right w:val="single" w:color="auto" w:sz="4" w:space="0"/>
            </w:tcBorders>
            <w:vAlign w:val="center"/>
          </w:tcPr>
          <w:p w14:paraId="61E6C980">
            <w:pPr>
              <w:spacing w:line="360" w:lineRule="auto"/>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条款号</w:t>
            </w:r>
          </w:p>
        </w:tc>
        <w:tc>
          <w:tcPr>
            <w:tcW w:w="2546" w:type="dxa"/>
            <w:tcBorders>
              <w:top w:val="single" w:color="auto" w:sz="4" w:space="0"/>
              <w:left w:val="single" w:color="auto" w:sz="4" w:space="0"/>
              <w:bottom w:val="single" w:color="auto" w:sz="4" w:space="0"/>
              <w:right w:val="single" w:color="auto" w:sz="4" w:space="0"/>
            </w:tcBorders>
            <w:vAlign w:val="center"/>
          </w:tcPr>
          <w:p w14:paraId="221529F2">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评审因素</w:t>
            </w:r>
          </w:p>
        </w:tc>
        <w:tc>
          <w:tcPr>
            <w:tcW w:w="6012" w:type="dxa"/>
            <w:tcBorders>
              <w:top w:val="single" w:color="auto" w:sz="4" w:space="0"/>
              <w:left w:val="single" w:color="auto" w:sz="4" w:space="0"/>
              <w:bottom w:val="single" w:color="auto" w:sz="4" w:space="0"/>
              <w:right w:val="single" w:color="auto" w:sz="4" w:space="0"/>
            </w:tcBorders>
            <w:vAlign w:val="center"/>
          </w:tcPr>
          <w:p w14:paraId="07208655">
            <w:pPr>
              <w:spacing w:line="360" w:lineRule="auto"/>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评审标准</w:t>
            </w:r>
          </w:p>
        </w:tc>
      </w:tr>
      <w:tr w14:paraId="77B7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77" w:type="dxa"/>
            <w:vMerge w:val="restart"/>
            <w:tcBorders>
              <w:top w:val="single" w:color="auto" w:sz="4" w:space="0"/>
              <w:left w:val="single" w:color="auto" w:sz="4" w:space="0"/>
              <w:right w:val="single" w:color="auto" w:sz="4" w:space="0"/>
            </w:tcBorders>
            <w:vAlign w:val="center"/>
          </w:tcPr>
          <w:p w14:paraId="4797478E">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2.1.1</w:t>
            </w:r>
          </w:p>
        </w:tc>
        <w:tc>
          <w:tcPr>
            <w:tcW w:w="1171" w:type="dxa"/>
            <w:vMerge w:val="restart"/>
            <w:tcBorders>
              <w:top w:val="single" w:color="auto" w:sz="4" w:space="0"/>
              <w:left w:val="single" w:color="auto" w:sz="4" w:space="0"/>
              <w:right w:val="single" w:color="auto" w:sz="4" w:space="0"/>
            </w:tcBorders>
            <w:vAlign w:val="center"/>
          </w:tcPr>
          <w:p w14:paraId="381B52CE">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资格性</w:t>
            </w:r>
          </w:p>
          <w:p w14:paraId="2A28AF83">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审查</w:t>
            </w:r>
          </w:p>
          <w:p w14:paraId="2CD8AF53">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right w:val="single" w:color="auto" w:sz="4" w:space="0"/>
            </w:tcBorders>
            <w:vAlign w:val="center"/>
          </w:tcPr>
          <w:p w14:paraId="688D73C7">
            <w:pPr>
              <w:spacing w:line="360" w:lineRule="auto"/>
              <w:jc w:val="center"/>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满足《中华人民共和国政府采购法》第二十二条规定</w:t>
            </w:r>
          </w:p>
        </w:tc>
        <w:tc>
          <w:tcPr>
            <w:tcW w:w="6012" w:type="dxa"/>
            <w:tcBorders>
              <w:top w:val="single" w:color="auto" w:sz="4" w:space="0"/>
              <w:left w:val="single" w:color="auto" w:sz="4" w:space="0"/>
              <w:right w:val="single" w:color="auto" w:sz="4" w:space="0"/>
            </w:tcBorders>
            <w:vAlign w:val="center"/>
          </w:tcPr>
          <w:p w14:paraId="33AB8BF6">
            <w:pPr>
              <w:spacing w:line="720" w:lineRule="auto"/>
              <w:rPr>
                <w:rFonts w:hint="eastAsia" w:ascii="宋体" w:hAnsi="宋体" w:eastAsia="宋体" w:cs="MingLiU"/>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满足《中华人民共和国政府采购法》第二十二条规定</w:t>
            </w:r>
            <w:r>
              <w:rPr>
                <w:rFonts w:hint="eastAsia" w:ascii="宋体" w:hAnsi="宋体" w:eastAsia="宋体" w:cs="宋体"/>
                <w:color w:val="000000" w:themeColor="text1"/>
                <w:sz w:val="28"/>
                <w:szCs w:val="28"/>
                <w:lang w:eastAsia="zh-CN"/>
                <w14:textFill>
                  <w14:solidFill>
                    <w14:schemeClr w14:val="tx1"/>
                  </w14:solidFill>
                </w14:textFill>
              </w:rPr>
              <w:t>（提供承诺书）</w:t>
            </w:r>
          </w:p>
        </w:tc>
      </w:tr>
      <w:tr w14:paraId="3961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1077" w:type="dxa"/>
            <w:vMerge w:val="continue"/>
            <w:tcBorders>
              <w:left w:val="single" w:color="auto" w:sz="4" w:space="0"/>
              <w:right w:val="single" w:color="auto" w:sz="4" w:space="0"/>
            </w:tcBorders>
            <w:vAlign w:val="center"/>
          </w:tcPr>
          <w:p w14:paraId="3277C651">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17632F5E">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1AB08AD8">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营业执照</w:t>
            </w:r>
          </w:p>
        </w:tc>
        <w:tc>
          <w:tcPr>
            <w:tcW w:w="6012" w:type="dxa"/>
            <w:tcBorders>
              <w:top w:val="single" w:color="auto" w:sz="4" w:space="0"/>
              <w:left w:val="single" w:color="auto" w:sz="4" w:space="0"/>
              <w:right w:val="single" w:color="auto" w:sz="4" w:space="0"/>
            </w:tcBorders>
            <w:vAlign w:val="center"/>
          </w:tcPr>
          <w:p w14:paraId="3BC18E84">
            <w:pPr>
              <w:spacing w:line="720" w:lineRule="auto"/>
              <w:rPr>
                <w:rFonts w:hint="eastAsia" w:ascii="宋体" w:hAnsi="宋体" w:eastAsia="宋体" w:cs="MingLiU"/>
                <w:color w:val="000000" w:themeColor="text1"/>
                <w:sz w:val="28"/>
                <w:szCs w:val="28"/>
                <w:lang w:eastAsia="zh-CN"/>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投标供应商须具有合法有效的营业执照</w:t>
            </w:r>
            <w:r>
              <w:rPr>
                <w:rFonts w:hint="eastAsia" w:ascii="宋体" w:hAnsi="宋体" w:eastAsia="宋体" w:cs="MingLiU"/>
                <w:color w:val="000000" w:themeColor="text1"/>
                <w:sz w:val="28"/>
                <w:szCs w:val="28"/>
                <w:lang w:eastAsia="zh-CN"/>
                <w14:textFill>
                  <w14:solidFill>
                    <w14:schemeClr w14:val="tx1"/>
                  </w14:solidFill>
                </w14:textFill>
              </w:rPr>
              <w:t>；</w:t>
            </w:r>
          </w:p>
        </w:tc>
      </w:tr>
      <w:tr w14:paraId="70374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227C3386">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24ED81A3">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67296872">
            <w:pPr>
              <w:spacing w:line="276" w:lineRule="auto"/>
              <w:jc w:val="center"/>
              <w:rPr>
                <w:rFonts w:hint="eastAsia" w:ascii="宋体" w:hAnsi="宋体" w:eastAsia="宋体" w:cs="Times New Roman"/>
                <w:color w:val="000000" w:themeColor="text1"/>
                <w:sz w:val="28"/>
                <w:szCs w:val="28"/>
                <w:lang w:eastAsia="zh-CN"/>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本企业无商业贿赂和不正当竞争行为</w:t>
            </w:r>
          </w:p>
        </w:tc>
        <w:tc>
          <w:tcPr>
            <w:tcW w:w="6012" w:type="dxa"/>
            <w:tcBorders>
              <w:top w:val="single" w:color="auto" w:sz="4" w:space="0"/>
              <w:left w:val="single" w:color="auto" w:sz="4" w:space="0"/>
              <w:right w:val="single" w:color="auto" w:sz="4" w:space="0"/>
            </w:tcBorders>
            <w:vAlign w:val="center"/>
          </w:tcPr>
          <w:p w14:paraId="6FC2B3EA">
            <w:pPr>
              <w:spacing w:line="500" w:lineRule="exact"/>
              <w:rPr>
                <w:rFonts w:hint="eastAsia" w:ascii="宋体" w:hAnsi="宋体" w:eastAsia="宋体" w:cs="MingLiU"/>
                <w:color w:val="000000" w:themeColor="text1"/>
                <w:sz w:val="28"/>
                <w:szCs w:val="28"/>
                <w:lang w:eastAsia="zh-CN"/>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供应商须承诺本企业无商业贿赂和不正当竞争行为</w:t>
            </w:r>
            <w:r>
              <w:rPr>
                <w:rFonts w:hint="eastAsia" w:ascii="宋体" w:hAnsi="宋体" w:eastAsia="宋体" w:cs="MingLiU"/>
                <w:color w:val="000000" w:themeColor="text1"/>
                <w:sz w:val="28"/>
                <w:szCs w:val="28"/>
                <w:lang w:eastAsia="zh-CN"/>
                <w14:textFill>
                  <w14:solidFill>
                    <w14:schemeClr w14:val="tx1"/>
                  </w14:solidFill>
                </w14:textFill>
              </w:rPr>
              <w:t>；</w:t>
            </w:r>
            <w:bookmarkStart w:id="53" w:name="_GoBack"/>
            <w:bookmarkEnd w:id="53"/>
          </w:p>
        </w:tc>
      </w:tr>
      <w:tr w14:paraId="04551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17DEDABB">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00229686">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06F211F2">
            <w:pPr>
              <w:spacing w:line="276" w:lineRule="auto"/>
              <w:jc w:val="center"/>
              <w:rPr>
                <w:rFonts w:ascii="宋体" w:hAnsi="宋体" w:eastAsia="宋体" w:cs="宋体"/>
                <w:color w:val="000000" w:themeColor="text1"/>
                <w:sz w:val="28"/>
                <w:szCs w:val="28"/>
                <w14:textFill>
                  <w14:solidFill>
                    <w14:schemeClr w14:val="tx1"/>
                  </w14:solidFill>
                </w14:textFill>
              </w:rPr>
            </w:pPr>
            <w:r>
              <w:rPr>
                <w:rFonts w:ascii="宋体" w:hAnsi="宋体" w:eastAsia="宋体" w:cs="宋体"/>
                <w:color w:val="000000" w:themeColor="text1"/>
                <w:sz w:val="28"/>
                <w:szCs w:val="28"/>
                <w14:textFill>
                  <w14:solidFill>
                    <w14:schemeClr w14:val="tx1"/>
                  </w14:solidFill>
                </w14:textFill>
              </w:rPr>
              <w:t>信用查询</w:t>
            </w:r>
          </w:p>
        </w:tc>
        <w:tc>
          <w:tcPr>
            <w:tcW w:w="6012" w:type="dxa"/>
            <w:tcBorders>
              <w:top w:val="single" w:color="auto" w:sz="4" w:space="0"/>
              <w:left w:val="single" w:color="auto" w:sz="4" w:space="0"/>
              <w:right w:val="single" w:color="auto" w:sz="4" w:space="0"/>
            </w:tcBorders>
            <w:vAlign w:val="center"/>
          </w:tcPr>
          <w:p w14:paraId="0451AE16">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记录名单”查询截图。查提供网站的查询结果截图，截图要显示查询时间，查询时间自本公告发布之日起。</w:t>
            </w:r>
          </w:p>
        </w:tc>
      </w:tr>
      <w:tr w14:paraId="0613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77" w:type="dxa"/>
            <w:vMerge w:val="continue"/>
            <w:tcBorders>
              <w:left w:val="single" w:color="auto" w:sz="4" w:space="0"/>
              <w:right w:val="single" w:color="auto" w:sz="4" w:space="0"/>
            </w:tcBorders>
            <w:vAlign w:val="center"/>
          </w:tcPr>
          <w:p w14:paraId="58CE5C97">
            <w:pPr>
              <w:spacing w:line="360" w:lineRule="auto"/>
              <w:jc w:val="center"/>
              <w:rPr>
                <w:rFonts w:ascii="宋体" w:hAnsi="宋体" w:eastAsia="宋体" w:cs="Times New Roman"/>
                <w:bCs/>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15A04F70">
            <w:pPr>
              <w:spacing w:line="360" w:lineRule="auto"/>
              <w:jc w:val="cente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right w:val="single" w:color="auto" w:sz="4" w:space="0"/>
            </w:tcBorders>
            <w:vAlign w:val="center"/>
          </w:tcPr>
          <w:p w14:paraId="611836B1">
            <w:pPr>
              <w:spacing w:line="276"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本项目不接受联合体投标</w:t>
            </w:r>
          </w:p>
        </w:tc>
        <w:tc>
          <w:tcPr>
            <w:tcW w:w="6012" w:type="dxa"/>
            <w:tcBorders>
              <w:top w:val="single" w:color="auto" w:sz="4" w:space="0"/>
              <w:left w:val="single" w:color="auto" w:sz="4" w:space="0"/>
              <w:right w:val="single" w:color="auto" w:sz="4" w:space="0"/>
            </w:tcBorders>
            <w:vAlign w:val="center"/>
          </w:tcPr>
          <w:p w14:paraId="50E902D2">
            <w:pPr>
              <w:spacing w:line="50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本项目不接受联合体投标。提供非联合体承诺，格式自拟。</w:t>
            </w:r>
          </w:p>
        </w:tc>
      </w:tr>
      <w:tr w14:paraId="521A8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jc w:val="center"/>
        </w:trPr>
        <w:tc>
          <w:tcPr>
            <w:tcW w:w="10806" w:type="dxa"/>
            <w:gridSpan w:val="4"/>
            <w:tcBorders>
              <w:left w:val="single" w:color="auto" w:sz="4" w:space="0"/>
              <w:right w:val="single" w:color="auto" w:sz="4" w:space="0"/>
            </w:tcBorders>
            <w:vAlign w:val="center"/>
          </w:tcPr>
          <w:p w14:paraId="5097A4E9">
            <w:pPr>
              <w:tabs>
                <w:tab w:val="left" w:pos="1868"/>
              </w:tabs>
              <w:jc w:val="left"/>
              <w:rPr>
                <w:rFonts w:ascii="宋体" w:hAnsi="宋体" w:eastAsia="宋体" w:cs="MingLiU"/>
                <w:color w:val="000000" w:themeColor="text1"/>
                <w:sz w:val="28"/>
                <w:szCs w:val="28"/>
                <w14:textFill>
                  <w14:solidFill>
                    <w14:schemeClr w14:val="tx1"/>
                  </w14:solidFill>
                </w14:textFill>
              </w:rPr>
            </w:pPr>
            <w:r>
              <w:rPr>
                <w:rFonts w:hint="eastAsia" w:ascii="宋体" w:hAnsi="宋体" w:eastAsia="宋体" w:cs="MingLiU"/>
                <w:color w:val="000000" w:themeColor="text1"/>
                <w:sz w:val="28"/>
                <w:szCs w:val="28"/>
                <w14:textFill>
                  <w14:solidFill>
                    <w14:schemeClr w14:val="tx1"/>
                  </w14:solidFill>
                </w14:textFill>
              </w:rPr>
              <w:t>资格评审以响应文件为准，其上传资料真实性由投标人自行承担，同时，投标人要完善主体库。</w:t>
            </w:r>
          </w:p>
        </w:tc>
      </w:tr>
      <w:tr w14:paraId="76085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077" w:type="dxa"/>
            <w:vMerge w:val="restart"/>
            <w:tcBorders>
              <w:top w:val="single" w:color="auto" w:sz="4" w:space="0"/>
              <w:left w:val="single" w:color="auto" w:sz="4" w:space="0"/>
              <w:right w:val="single" w:color="auto" w:sz="4" w:space="0"/>
            </w:tcBorders>
            <w:vAlign w:val="center"/>
          </w:tcPr>
          <w:p w14:paraId="1DAF4EDF">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2.1.2</w:t>
            </w:r>
          </w:p>
        </w:tc>
        <w:tc>
          <w:tcPr>
            <w:tcW w:w="1171" w:type="dxa"/>
            <w:vMerge w:val="restart"/>
            <w:tcBorders>
              <w:top w:val="single" w:color="auto" w:sz="4" w:space="0"/>
              <w:left w:val="single" w:color="auto" w:sz="4" w:space="0"/>
              <w:right w:val="single" w:color="auto" w:sz="4" w:space="0"/>
            </w:tcBorders>
            <w:vAlign w:val="center"/>
          </w:tcPr>
          <w:p w14:paraId="47FC3A42">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符合性</w:t>
            </w:r>
          </w:p>
          <w:p w14:paraId="19397DE7">
            <w:pPr>
              <w:spacing w:line="360" w:lineRule="auto"/>
              <w:jc w:val="center"/>
              <w:rPr>
                <w:rFonts w:ascii="宋体" w:hAnsi="宋体" w:eastAsia="宋体" w:cs="Times New Roman"/>
                <w:bCs/>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审查</w:t>
            </w:r>
          </w:p>
          <w:p w14:paraId="7576F29B">
            <w:pPr>
              <w:spacing w:line="360" w:lineRule="auto"/>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Cs/>
                <w:color w:val="000000" w:themeColor="text1"/>
                <w:sz w:val="28"/>
                <w:szCs w:val="28"/>
                <w14:textFill>
                  <w14:solidFill>
                    <w14:schemeClr w14:val="tx1"/>
                  </w14:solidFill>
                </w14:textFill>
              </w:rPr>
              <w:t>标准</w:t>
            </w:r>
          </w:p>
        </w:tc>
        <w:tc>
          <w:tcPr>
            <w:tcW w:w="2546" w:type="dxa"/>
            <w:tcBorders>
              <w:top w:val="single" w:color="auto" w:sz="4" w:space="0"/>
              <w:left w:val="single" w:color="auto" w:sz="4" w:space="0"/>
              <w:right w:val="single" w:color="auto" w:sz="4" w:space="0"/>
            </w:tcBorders>
            <w:vAlign w:val="center"/>
          </w:tcPr>
          <w:p w14:paraId="3D60BD56">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服务期</w:t>
            </w:r>
          </w:p>
        </w:tc>
        <w:tc>
          <w:tcPr>
            <w:tcW w:w="6012" w:type="dxa"/>
            <w:tcBorders>
              <w:top w:val="single" w:color="auto" w:sz="4" w:space="0"/>
              <w:left w:val="single" w:color="auto" w:sz="4" w:space="0"/>
              <w:right w:val="single" w:color="auto" w:sz="4" w:space="0"/>
            </w:tcBorders>
            <w:vAlign w:val="center"/>
          </w:tcPr>
          <w:p w14:paraId="074CBD41">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Times New Roman"/>
                <w:color w:val="000000" w:themeColor="text1"/>
                <w:spacing w:val="6"/>
                <w:sz w:val="28"/>
                <w:szCs w:val="28"/>
                <w:lang w:val="en-US" w:eastAsia="zh-Hans"/>
                <w14:textFill>
                  <w14:solidFill>
                    <w14:schemeClr w14:val="tx1"/>
                  </w14:solidFill>
                </w14:textFill>
              </w:rPr>
              <w:t>自合同签署生效之日起至本项目工作全部结束止</w:t>
            </w:r>
          </w:p>
        </w:tc>
      </w:tr>
      <w:tr w14:paraId="3010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24B145A5">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4191B4D3">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72179128">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质量要求</w:t>
            </w:r>
          </w:p>
        </w:tc>
        <w:tc>
          <w:tcPr>
            <w:tcW w:w="6012" w:type="dxa"/>
            <w:tcBorders>
              <w:top w:val="single" w:color="auto" w:sz="4" w:space="0"/>
              <w:left w:val="single" w:color="auto" w:sz="4" w:space="0"/>
              <w:bottom w:val="single" w:color="auto" w:sz="4" w:space="0"/>
              <w:right w:val="single" w:color="auto" w:sz="4" w:space="0"/>
            </w:tcBorders>
            <w:vAlign w:val="center"/>
          </w:tcPr>
          <w:p w14:paraId="69408057">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合</w:t>
            </w:r>
            <w:r>
              <w:rPr>
                <w:rFonts w:hint="eastAsia" w:ascii="宋体" w:hAnsi="宋体" w:eastAsia="宋体" w:cs="宋体"/>
                <w:color w:val="000000" w:themeColor="text1"/>
                <w:sz w:val="28"/>
                <w:szCs w:val="28"/>
                <w:lang w:val="en-US" w:eastAsia="zh-CN"/>
                <w14:textFill>
                  <w14:solidFill>
                    <w14:schemeClr w14:val="tx1"/>
                  </w14:solidFill>
                </w14:textFill>
              </w:rPr>
              <w:t xml:space="preserve">  </w:t>
            </w:r>
            <w:r>
              <w:rPr>
                <w:rFonts w:hint="eastAsia" w:ascii="宋体" w:hAnsi="宋体" w:eastAsia="宋体" w:cs="宋体"/>
                <w:color w:val="000000" w:themeColor="text1"/>
                <w:sz w:val="28"/>
                <w:szCs w:val="28"/>
                <w14:textFill>
                  <w14:solidFill>
                    <w14:schemeClr w14:val="tx1"/>
                  </w14:solidFill>
                </w14:textFill>
              </w:rPr>
              <w:t>格</w:t>
            </w:r>
          </w:p>
        </w:tc>
      </w:tr>
      <w:tr w14:paraId="3010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077" w:type="dxa"/>
            <w:vMerge w:val="continue"/>
            <w:tcBorders>
              <w:left w:val="single" w:color="auto" w:sz="4" w:space="0"/>
              <w:right w:val="single" w:color="auto" w:sz="4" w:space="0"/>
            </w:tcBorders>
            <w:vAlign w:val="center"/>
          </w:tcPr>
          <w:p w14:paraId="129B00F8">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right w:val="single" w:color="auto" w:sz="4" w:space="0"/>
            </w:tcBorders>
            <w:vAlign w:val="center"/>
          </w:tcPr>
          <w:p w14:paraId="68C9854E">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3923ECD8">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磋商有效期</w:t>
            </w:r>
          </w:p>
        </w:tc>
        <w:tc>
          <w:tcPr>
            <w:tcW w:w="6012" w:type="dxa"/>
            <w:tcBorders>
              <w:top w:val="single" w:color="auto" w:sz="4" w:space="0"/>
              <w:left w:val="single" w:color="auto" w:sz="4" w:space="0"/>
              <w:bottom w:val="single" w:color="auto" w:sz="4" w:space="0"/>
              <w:right w:val="single" w:color="auto" w:sz="4" w:space="0"/>
            </w:tcBorders>
            <w:vAlign w:val="center"/>
          </w:tcPr>
          <w:p w14:paraId="1016EE18">
            <w:pPr>
              <w:spacing w:line="720" w:lineRule="auto"/>
              <w:jc w:val="center"/>
              <w:rPr>
                <w:rFonts w:ascii="宋体" w:hAnsi="宋体" w:eastAsia="宋体" w:cs="宋体"/>
                <w:color w:val="000000" w:themeColor="text1"/>
                <w:sz w:val="28"/>
                <w:szCs w:val="28"/>
                <w14:textFill>
                  <w14:solidFill>
                    <w14:schemeClr w14:val="tx1"/>
                  </w14:solidFill>
                </w14:textFill>
              </w:rPr>
            </w:pPr>
            <w:r>
              <w:rPr>
                <w:rFonts w:ascii="宋体" w:hAnsi="宋体" w:eastAsia="宋体" w:cs="Times New Roman"/>
                <w:color w:val="000000" w:themeColor="text1"/>
                <w:spacing w:val="6"/>
                <w:sz w:val="28"/>
                <w:szCs w:val="28"/>
                <w14:textFill>
                  <w14:solidFill>
                    <w14:schemeClr w14:val="tx1"/>
                  </w14:solidFill>
                </w14:textFill>
              </w:rPr>
              <w:t>60</w:t>
            </w:r>
            <w:r>
              <w:rPr>
                <w:rFonts w:hint="eastAsia" w:ascii="宋体" w:hAnsi="宋体" w:eastAsia="宋体" w:cs="Times New Roman"/>
                <w:color w:val="000000" w:themeColor="text1"/>
                <w:spacing w:val="6"/>
                <w:sz w:val="28"/>
                <w:szCs w:val="28"/>
                <w14:textFill>
                  <w14:solidFill>
                    <w14:schemeClr w14:val="tx1"/>
                  </w14:solidFill>
                </w14:textFill>
              </w:rPr>
              <w:t>日历天</w:t>
            </w:r>
          </w:p>
        </w:tc>
      </w:tr>
      <w:tr w14:paraId="24065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exact"/>
          <w:jc w:val="center"/>
        </w:trPr>
        <w:tc>
          <w:tcPr>
            <w:tcW w:w="1077" w:type="dxa"/>
            <w:vMerge w:val="continue"/>
            <w:tcBorders>
              <w:left w:val="single" w:color="auto" w:sz="4" w:space="0"/>
              <w:bottom w:val="single" w:color="auto" w:sz="4" w:space="0"/>
              <w:right w:val="single" w:color="auto" w:sz="4" w:space="0"/>
            </w:tcBorders>
            <w:vAlign w:val="center"/>
          </w:tcPr>
          <w:p w14:paraId="6C776050">
            <w:pPr>
              <w:rPr>
                <w:rFonts w:ascii="宋体" w:hAnsi="宋体" w:eastAsia="宋体" w:cs="Times New Roman"/>
                <w:color w:val="000000" w:themeColor="text1"/>
                <w:sz w:val="28"/>
                <w:szCs w:val="28"/>
                <w14:textFill>
                  <w14:solidFill>
                    <w14:schemeClr w14:val="tx1"/>
                  </w14:solidFill>
                </w14:textFill>
              </w:rPr>
            </w:pPr>
          </w:p>
        </w:tc>
        <w:tc>
          <w:tcPr>
            <w:tcW w:w="1171" w:type="dxa"/>
            <w:vMerge w:val="continue"/>
            <w:tcBorders>
              <w:left w:val="single" w:color="auto" w:sz="4" w:space="0"/>
              <w:bottom w:val="single" w:color="auto" w:sz="4" w:space="0"/>
              <w:right w:val="single" w:color="auto" w:sz="4" w:space="0"/>
            </w:tcBorders>
            <w:vAlign w:val="center"/>
          </w:tcPr>
          <w:p w14:paraId="7C20B6AF">
            <w:pPr>
              <w:rPr>
                <w:rFonts w:ascii="宋体" w:hAnsi="宋体" w:eastAsia="宋体" w:cs="Times New Roman"/>
                <w:color w:val="000000" w:themeColor="text1"/>
                <w:sz w:val="28"/>
                <w:szCs w:val="28"/>
                <w14:textFill>
                  <w14:solidFill>
                    <w14:schemeClr w14:val="tx1"/>
                  </w14:solidFill>
                </w14:textFill>
              </w:rPr>
            </w:pPr>
          </w:p>
        </w:tc>
        <w:tc>
          <w:tcPr>
            <w:tcW w:w="2546" w:type="dxa"/>
            <w:tcBorders>
              <w:top w:val="single" w:color="auto" w:sz="4" w:space="0"/>
              <w:left w:val="single" w:color="auto" w:sz="4" w:space="0"/>
              <w:bottom w:val="single" w:color="auto" w:sz="4" w:space="0"/>
              <w:right w:val="single" w:color="auto" w:sz="4" w:space="0"/>
            </w:tcBorders>
            <w:vAlign w:val="center"/>
          </w:tcPr>
          <w:p w14:paraId="13171926">
            <w:pPr>
              <w:spacing w:line="720" w:lineRule="auto"/>
              <w:jc w:val="center"/>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报价</w:t>
            </w:r>
          </w:p>
        </w:tc>
        <w:tc>
          <w:tcPr>
            <w:tcW w:w="6012" w:type="dxa"/>
            <w:tcBorders>
              <w:top w:val="single" w:color="auto" w:sz="4" w:space="0"/>
              <w:left w:val="single" w:color="auto" w:sz="4" w:space="0"/>
              <w:bottom w:val="single" w:color="auto" w:sz="4" w:space="0"/>
              <w:right w:val="single" w:color="auto" w:sz="4" w:space="0"/>
            </w:tcBorders>
            <w:vAlign w:val="center"/>
          </w:tcPr>
          <w:p w14:paraId="330B711A">
            <w:pPr>
              <w:jc w:val="center"/>
              <w:rPr>
                <w:sz w:val="28"/>
                <w:szCs w:val="28"/>
              </w:rPr>
            </w:pPr>
            <w:r>
              <w:rPr>
                <w:rFonts w:hint="eastAsia"/>
                <w:sz w:val="28"/>
                <w:szCs w:val="28"/>
              </w:rPr>
              <w:t>响应人磋商总报价不得高于采购人的预算价，否则其投标将予否决。</w:t>
            </w:r>
          </w:p>
        </w:tc>
      </w:tr>
    </w:tbl>
    <w:p w14:paraId="72A1E81F">
      <w:pPr>
        <w:spacing w:line="440" w:lineRule="exact"/>
        <w:ind w:firstLine="562" w:firstLineChars="200"/>
        <w:rPr>
          <w:rFonts w:ascii="宋体" w:hAnsi="宋体" w:eastAsia="宋体" w:cs="宋体"/>
          <w:b/>
          <w:color w:val="000000" w:themeColor="text1"/>
          <w:sz w:val="28"/>
          <w:szCs w:val="28"/>
          <w14:textFill>
            <w14:solidFill>
              <w14:schemeClr w14:val="tx1"/>
            </w14:solidFill>
          </w14:textFill>
        </w:rPr>
      </w:pPr>
    </w:p>
    <w:p w14:paraId="360E17D5">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 磋商文件的评审、比较和否决</w:t>
      </w:r>
    </w:p>
    <w:p w14:paraId="0F63DAA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1.1</w:t>
      </w:r>
      <w:r>
        <w:rPr>
          <w:rFonts w:hint="eastAsia" w:ascii="宋体" w:hAnsi="宋体" w:eastAsia="宋体" w:cs="宋体"/>
          <w:color w:val="000000" w:themeColor="text1"/>
          <w:sz w:val="28"/>
          <w:szCs w:val="28"/>
          <w14:textFill>
            <w14:solidFill>
              <w14:schemeClr w14:val="tx1"/>
            </w14:solidFill>
          </w14:textFill>
        </w:rPr>
        <w:t>磋商小组将按照竞争性磋商文件的规定，仅对在实质上响应竞争性磋商文件要求的响应文件进行评估和比较。</w:t>
      </w:r>
    </w:p>
    <w:p w14:paraId="4D6D19EE">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1.2</w:t>
      </w:r>
      <w:r>
        <w:rPr>
          <w:rFonts w:hint="eastAsia" w:ascii="宋体" w:hAnsi="宋体" w:eastAsia="宋体" w:cs="宋体"/>
          <w:color w:val="000000" w:themeColor="text1"/>
          <w:sz w:val="28"/>
          <w:szCs w:val="28"/>
          <w14:textFill>
            <w14:solidFill>
              <w14:schemeClr w14:val="tx1"/>
            </w14:solidFill>
          </w14:textFill>
        </w:rPr>
        <w:t>根据相关法律法规及有关磋商文件规定，结合本项目具体情况，制定本次采购磋商办法。并按照“公平、公正、科学、择优”的原则进行磋商。采用百分制综合评估法进行评比。</w:t>
      </w:r>
    </w:p>
    <w:p w14:paraId="2CD22677">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1.3</w:t>
      </w:r>
      <w:r>
        <w:rPr>
          <w:rFonts w:hint="eastAsia" w:ascii="宋体" w:hAnsi="宋体" w:eastAsia="宋体" w:cs="宋体"/>
          <w:color w:val="000000" w:themeColor="text1"/>
          <w:sz w:val="28"/>
          <w:szCs w:val="28"/>
          <w14:textFill>
            <w14:solidFill>
              <w14:schemeClr w14:val="tx1"/>
            </w14:solidFill>
          </w14:textFill>
        </w:rPr>
        <w:t>在磋商过程中，磋商小组可以以书面形式要求磋商供应商就响应文件中含义不明确的内容进行书面说明并提供相关材料；</w:t>
      </w:r>
      <w:r>
        <w:rPr>
          <w:rFonts w:hint="eastAsia" w:ascii="宋体" w:hAnsi="宋体" w:eastAsia="宋体" w:cs="宋体"/>
          <w:color w:val="000000" w:themeColor="text1"/>
          <w:spacing w:val="-12"/>
          <w:sz w:val="28"/>
          <w:szCs w:val="28"/>
          <w14:textFill>
            <w14:solidFill>
              <w14:schemeClr w14:val="tx1"/>
            </w14:solidFill>
          </w14:textFill>
        </w:rPr>
        <w:t>凡遇到响应文件中无界定或界定不清、前后不一致使评委会成员</w:t>
      </w:r>
      <w:r>
        <w:rPr>
          <w:rFonts w:hint="eastAsia" w:ascii="宋体" w:hAnsi="宋体" w:eastAsia="宋体" w:cs="宋体"/>
          <w:color w:val="000000" w:themeColor="text1"/>
          <w:sz w:val="28"/>
          <w:szCs w:val="28"/>
          <w14:textFill>
            <w14:solidFill>
              <w14:schemeClr w14:val="tx1"/>
            </w14:solidFill>
          </w14:textFill>
        </w:rPr>
        <w:t>意见</w:t>
      </w:r>
      <w:r>
        <w:rPr>
          <w:rFonts w:hint="eastAsia" w:ascii="宋体" w:hAnsi="宋体" w:eastAsia="宋体" w:cs="宋体"/>
          <w:color w:val="000000" w:themeColor="text1"/>
          <w:spacing w:val="-12"/>
          <w:sz w:val="28"/>
          <w:szCs w:val="28"/>
          <w14:textFill>
            <w14:solidFill>
              <w14:schemeClr w14:val="tx1"/>
            </w14:solidFill>
          </w14:textFill>
        </w:rPr>
        <w:t>有分歧且又难于协商一致的问题，均由评委会予以表决，获半数以上同意的即为通过，未获半数同意的即为否决</w:t>
      </w:r>
      <w:r>
        <w:rPr>
          <w:rFonts w:hint="eastAsia" w:ascii="宋体" w:hAnsi="宋体" w:eastAsia="宋体" w:cs="宋体"/>
          <w:color w:val="000000" w:themeColor="text1"/>
          <w:sz w:val="28"/>
          <w:szCs w:val="28"/>
          <w14:textFill>
            <w14:solidFill>
              <w14:schemeClr w14:val="tx1"/>
            </w14:solidFill>
          </w14:textFill>
        </w:rPr>
        <w:t>。</w:t>
      </w:r>
    </w:p>
    <w:p w14:paraId="5EFCBE3B">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1.4</w:t>
      </w:r>
      <w:r>
        <w:rPr>
          <w:rFonts w:hint="eastAsia" w:ascii="宋体" w:hAnsi="宋体" w:eastAsia="宋体" w:cs="宋体"/>
          <w:color w:val="000000" w:themeColor="text1"/>
          <w:sz w:val="28"/>
          <w:szCs w:val="28"/>
          <w14:textFill>
            <w14:solidFill>
              <w14:schemeClr w14:val="tx1"/>
            </w14:solidFill>
          </w14:textFill>
        </w:rPr>
        <w:t>磋商时，磋商报价是磋商的重要依据，但不是唯一依据，采购人不承诺将合同授予报价最低或最高的磋商供应商。</w:t>
      </w:r>
    </w:p>
    <w:p w14:paraId="58363FB0">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1.5</w:t>
      </w:r>
      <w:r>
        <w:rPr>
          <w:rFonts w:hint="eastAsia" w:ascii="宋体" w:hAnsi="宋体" w:eastAsia="宋体" w:cs="宋体"/>
          <w:color w:val="000000" w:themeColor="text1"/>
          <w:sz w:val="28"/>
          <w:szCs w:val="28"/>
          <w14:textFill>
            <w14:solidFill>
              <w14:schemeClr w14:val="tx1"/>
            </w14:solidFill>
          </w14:textFill>
        </w:rPr>
        <w:t>磋商小组依据竞争性磋商文件中规定的磋商标准和方法，对响应文件进行评审和比较，向采购人提出书面磋商报告，并推荐合格的成交候选人。采购人根据磋商小组提出的书面磋商报告和推荐的成交候选人按序确定成交人。</w:t>
      </w:r>
    </w:p>
    <w:p w14:paraId="4094DBE4">
      <w:pPr>
        <w:spacing w:line="600" w:lineRule="exact"/>
        <w:ind w:firstLine="562"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 磋商程序</w:t>
      </w:r>
    </w:p>
    <w:p w14:paraId="52316FB6">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2.1 资格审查</w:t>
      </w:r>
    </w:p>
    <w:p w14:paraId="08890C2C">
      <w:pPr>
        <w:spacing w:line="600" w:lineRule="exact"/>
        <w:ind w:firstLine="560" w:firstLineChars="200"/>
        <w:rPr>
          <w:rFonts w:ascii="Calibri" w:hAnsi="Calibri"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本项目采用资格后审</w:t>
      </w:r>
    </w:p>
    <w:p w14:paraId="03E0261D">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磋商小组按照竞争性磋商文件供应商资格要求，对磋商供应商的响应文件进行资格和符合性审查，有一项不符合的，按废标处理，符合的进入下一磋商程序。</w:t>
      </w:r>
    </w:p>
    <w:p w14:paraId="6D095314">
      <w:pPr>
        <w:spacing w:line="600" w:lineRule="exact"/>
        <w:ind w:firstLine="562" w:firstLineChars="2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3.磋商具体方法和标准</w:t>
      </w:r>
    </w:p>
    <w:p w14:paraId="0AB7AD4D">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磋商小组根据磋商原则和办法对所有响应文件进行集中审核，分别评价。</w:t>
      </w:r>
    </w:p>
    <w:tbl>
      <w:tblPr>
        <w:tblStyle w:val="12"/>
        <w:tblpPr w:leftFromText="180" w:rightFromText="180" w:vertAnchor="text" w:horzAnchor="margin" w:tblpXSpec="center" w:tblpY="172"/>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84"/>
        <w:gridCol w:w="742"/>
        <w:gridCol w:w="6771"/>
      </w:tblGrid>
      <w:tr w14:paraId="455E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1134" w:type="dxa"/>
            <w:tcBorders>
              <w:top w:val="single" w:color="auto" w:sz="4" w:space="0"/>
              <w:left w:val="single" w:color="auto" w:sz="4" w:space="0"/>
              <w:bottom w:val="single" w:color="auto" w:sz="4" w:space="0"/>
              <w:right w:val="single" w:color="auto" w:sz="4" w:space="0"/>
            </w:tcBorders>
            <w:vAlign w:val="center"/>
          </w:tcPr>
          <w:p w14:paraId="2014716C">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评分因素</w:t>
            </w:r>
          </w:p>
        </w:tc>
        <w:tc>
          <w:tcPr>
            <w:tcW w:w="1384" w:type="dxa"/>
            <w:tcBorders>
              <w:top w:val="single" w:color="auto" w:sz="4" w:space="0"/>
              <w:left w:val="single" w:color="auto" w:sz="4" w:space="0"/>
              <w:bottom w:val="single" w:color="auto" w:sz="4" w:space="0"/>
              <w:right w:val="single" w:color="auto" w:sz="4" w:space="0"/>
            </w:tcBorders>
            <w:vAlign w:val="center"/>
          </w:tcPr>
          <w:p w14:paraId="3AED9FD2">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评分内容</w:t>
            </w:r>
          </w:p>
        </w:tc>
        <w:tc>
          <w:tcPr>
            <w:tcW w:w="742" w:type="dxa"/>
            <w:tcBorders>
              <w:top w:val="single" w:color="auto" w:sz="4" w:space="0"/>
              <w:left w:val="single" w:color="auto" w:sz="4" w:space="0"/>
              <w:bottom w:val="single" w:color="auto" w:sz="4" w:space="0"/>
              <w:right w:val="single" w:color="auto" w:sz="4" w:space="0"/>
            </w:tcBorders>
            <w:vAlign w:val="center"/>
          </w:tcPr>
          <w:p w14:paraId="2A1E0144">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分值</w:t>
            </w:r>
          </w:p>
        </w:tc>
        <w:tc>
          <w:tcPr>
            <w:tcW w:w="6771" w:type="dxa"/>
            <w:tcBorders>
              <w:top w:val="single" w:color="auto" w:sz="4" w:space="0"/>
              <w:left w:val="single" w:color="auto" w:sz="4" w:space="0"/>
              <w:bottom w:val="single" w:color="auto" w:sz="4" w:space="0"/>
              <w:right w:val="single" w:color="auto" w:sz="4" w:space="0"/>
            </w:tcBorders>
            <w:vAlign w:val="center"/>
          </w:tcPr>
          <w:p w14:paraId="322B98E2">
            <w:pPr>
              <w:jc w:val="center"/>
              <w:rPr>
                <w:rFonts w:ascii="宋体" w:hAnsi="宋体" w:eastAsia="宋体" w:cs="宋体"/>
                <w:b/>
                <w:bCs/>
                <w:color w:val="000000" w:themeColor="text1"/>
                <w:sz w:val="28"/>
                <w:szCs w:val="28"/>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评分标准</w:t>
            </w:r>
          </w:p>
        </w:tc>
      </w:tr>
      <w:tr w14:paraId="1D82B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7" w:hRule="atLeast"/>
        </w:trPr>
        <w:tc>
          <w:tcPr>
            <w:tcW w:w="1134" w:type="dxa"/>
            <w:tcBorders>
              <w:top w:val="single" w:color="auto" w:sz="4" w:space="0"/>
              <w:left w:val="single" w:color="auto" w:sz="4" w:space="0"/>
              <w:bottom w:val="single" w:color="auto" w:sz="4" w:space="0"/>
              <w:right w:val="single" w:color="auto" w:sz="4" w:space="0"/>
            </w:tcBorders>
            <w:vAlign w:val="center"/>
          </w:tcPr>
          <w:p w14:paraId="3546F274">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报价</w:t>
            </w:r>
          </w:p>
          <w:p w14:paraId="340084BC">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40</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bottom w:val="single" w:color="auto" w:sz="4" w:space="0"/>
              <w:right w:val="single" w:color="auto" w:sz="4" w:space="0"/>
            </w:tcBorders>
            <w:vAlign w:val="center"/>
          </w:tcPr>
          <w:p w14:paraId="7BAF09A7">
            <w:pPr>
              <w:spacing w:before="156"/>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报价分</w:t>
            </w:r>
          </w:p>
        </w:tc>
        <w:tc>
          <w:tcPr>
            <w:tcW w:w="742" w:type="dxa"/>
            <w:tcBorders>
              <w:top w:val="single" w:color="auto" w:sz="4" w:space="0"/>
              <w:left w:val="single" w:color="auto" w:sz="4" w:space="0"/>
              <w:bottom w:val="single" w:color="auto" w:sz="4" w:space="0"/>
              <w:right w:val="single" w:color="auto" w:sz="4" w:space="0"/>
            </w:tcBorders>
            <w:vAlign w:val="center"/>
          </w:tcPr>
          <w:p w14:paraId="53EF446F">
            <w:pPr>
              <w:spacing w:before="156"/>
              <w:jc w:val="center"/>
              <w:rPr>
                <w:rFonts w:hint="default" w:ascii="宋体" w:hAnsi="宋体" w:eastAsia="宋体" w:cs="Times New Roman"/>
                <w:color w:val="000000" w:themeColor="text1"/>
                <w:sz w:val="28"/>
                <w:szCs w:val="28"/>
                <w:lang w:val="en-US"/>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40</w:t>
            </w:r>
          </w:p>
        </w:tc>
        <w:tc>
          <w:tcPr>
            <w:tcW w:w="6771" w:type="dxa"/>
            <w:tcBorders>
              <w:top w:val="single" w:color="auto" w:sz="4" w:space="0"/>
              <w:left w:val="single" w:color="auto" w:sz="4" w:space="0"/>
              <w:bottom w:val="single" w:color="auto" w:sz="4" w:space="0"/>
              <w:right w:val="single" w:color="auto" w:sz="4" w:space="0"/>
            </w:tcBorders>
            <w:vAlign w:val="center"/>
          </w:tcPr>
          <w:p w14:paraId="797D66BE">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1、超出采购人控制价的投标报价为无效报价、按废标处理。</w:t>
            </w:r>
          </w:p>
          <w:p w14:paraId="529AA939">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2、所有为未进入详细评审的投标为无效投标，其报价不作为评分依据。</w:t>
            </w:r>
          </w:p>
          <w:p w14:paraId="04FBC421">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3、价格分统一采用低价优先法计算，既满足竞争性磋商文件要求且投标价格最低的投标报价为评标基准价，其价格分为满分。其他供应商的价格分统一按照下列公式计算：</w:t>
            </w:r>
          </w:p>
          <w:p w14:paraId="0D30182A">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磋商报价得分=(磋商基准价/最后磋商报价)×</w:t>
            </w:r>
            <w:r>
              <w:rPr>
                <w:rFonts w:hint="eastAsia" w:asciiTheme="minorEastAsia" w:hAnsiTheme="minorEastAsia" w:cstheme="minorEastAsia"/>
                <w:color w:val="000000" w:themeColor="text1"/>
                <w:sz w:val="28"/>
                <w:szCs w:val="28"/>
                <w:lang w:val="en-US" w:eastAsia="zh-CN"/>
                <w14:textFill>
                  <w14:solidFill>
                    <w14:schemeClr w14:val="tx1"/>
                  </w14:solidFill>
                </w14:textFill>
              </w:rPr>
              <w:t>40</w:t>
            </w:r>
            <w:r>
              <w:rPr>
                <w:rFonts w:hint="eastAsia" w:asciiTheme="minorEastAsia" w:hAnsiTheme="minorEastAsia" w:cstheme="minorEastAsia"/>
                <w:color w:val="000000" w:themeColor="text1"/>
                <w:sz w:val="28"/>
                <w:szCs w:val="28"/>
                <w14:textFill>
                  <w14:solidFill>
                    <w14:schemeClr w14:val="tx1"/>
                  </w14:solidFill>
                </w14:textFill>
              </w:rPr>
              <w:t xml:space="preserve"> %×100</w:t>
            </w:r>
          </w:p>
          <w:p w14:paraId="630A0A5C">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注：1.根据《政府采购促进中小企业发展管理办法》的规定，对小型、微型企业产品的价格给予10%～20%的扣除，本项目小型、微型企业按20%扣除。对于中型企业产品的价格不予扣除。</w:t>
            </w:r>
          </w:p>
          <w:p w14:paraId="0D0855D8">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所投小微企业产品报价=所投小微企业产品报价×（1-20%）</w:t>
            </w:r>
          </w:p>
          <w:p w14:paraId="2AF64B72">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2.根据财政部司法部《关于政府采购支持监狱企业发展有关问题的通知》规定，对于监狱企业视同为小型、微型企业，价格给予 20%的扣除。</w:t>
            </w:r>
          </w:p>
          <w:p w14:paraId="06589589">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所投监狱企业产品报价=所投监狱企业产品报价×（1-20%）</w:t>
            </w:r>
          </w:p>
          <w:p w14:paraId="3E7F2C55">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3.根据财政部民政部中国残疾人联合会《关于促进残疾人就业政府采购政策的通知》规定，对于残疾人福利性单位视同为小型、微型企业，价格给予 20%的扣除。</w:t>
            </w:r>
          </w:p>
          <w:p w14:paraId="6FB8F751">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所投残疾人福利性单位企业产品报价=所投残疾人福利性单位企业产品报价×（1-20%）</w:t>
            </w:r>
          </w:p>
          <w:p w14:paraId="3470CC5B">
            <w:pPr>
              <w:spacing w:line="520" w:lineRule="exact"/>
              <w:rPr>
                <w:rFonts w:asciiTheme="minorEastAsia" w:hAnsiTheme="minorEastAsia" w:cstheme="minorEastAsia"/>
                <w:color w:val="000000" w:themeColor="text1"/>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同一供应商，中小微企业产品、监狱企业产品、残疾人福利性单位产品的价格扣除优惠只享受一次，不得重复享受。</w:t>
            </w:r>
          </w:p>
          <w:p w14:paraId="4D5A391C">
            <w:pPr>
              <w:spacing w:line="520" w:lineRule="exact"/>
              <w:rPr>
                <w:rFonts w:ascii="宋体" w:hAnsi="宋体" w:eastAsia="宋体" w:cs="Times New Roman"/>
                <w:color w:val="000000" w:themeColor="text1"/>
                <w:kern w:val="0"/>
                <w:sz w:val="28"/>
                <w:szCs w:val="28"/>
                <w14:textFill>
                  <w14:solidFill>
                    <w14:schemeClr w14:val="tx1"/>
                  </w14:solidFill>
                </w14:textFill>
              </w:rPr>
            </w:pPr>
            <w:r>
              <w:rPr>
                <w:rFonts w:hint="eastAsia" w:asciiTheme="minorEastAsia" w:hAnsiTheme="minorEastAsia" w:cstheme="minorEastAsia"/>
                <w:color w:val="000000" w:themeColor="text1"/>
                <w:sz w:val="28"/>
                <w:szCs w:val="28"/>
                <w14:textFill>
                  <w14:solidFill>
                    <w14:schemeClr w14:val="tx1"/>
                  </w14:solidFill>
                </w14:textFill>
              </w:rPr>
              <w:t>备注：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0FC3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34" w:type="dxa"/>
            <w:vMerge w:val="restart"/>
            <w:tcBorders>
              <w:top w:val="single" w:color="auto" w:sz="4" w:space="0"/>
              <w:left w:val="single" w:color="auto" w:sz="4" w:space="0"/>
              <w:right w:val="single" w:color="auto" w:sz="4" w:space="0"/>
            </w:tcBorders>
            <w:vAlign w:val="center"/>
          </w:tcPr>
          <w:p w14:paraId="578810F5">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bCs/>
                <w:color w:val="000000" w:themeColor="text1"/>
                <w:sz w:val="28"/>
                <w:szCs w:val="28"/>
                <w14:textFill>
                  <w14:solidFill>
                    <w14:schemeClr w14:val="tx1"/>
                  </w14:solidFill>
                </w14:textFill>
              </w:rPr>
              <w:t>技术部分</w:t>
            </w:r>
            <w:r>
              <w:rPr>
                <w:rFonts w:hint="eastAsia"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lang w:val="en-US" w:eastAsia="zh-CN"/>
                <w14:textFill>
                  <w14:solidFill>
                    <w14:schemeClr w14:val="tx1"/>
                  </w14:solidFill>
                </w14:textFill>
              </w:rPr>
              <w:t>40</w:t>
            </w:r>
            <w:r>
              <w:rPr>
                <w:rFonts w:ascii="宋体" w:hAnsi="宋体" w:eastAsia="宋体" w:cs="Times New Roman"/>
                <w:b/>
                <w:color w:val="000000" w:themeColor="text1"/>
                <w:sz w:val="28"/>
                <w:szCs w:val="28"/>
                <w14:textFill>
                  <w14:solidFill>
                    <w14:schemeClr w14:val="tx1"/>
                  </w14:solidFill>
                </w14:textFill>
              </w:rPr>
              <w:t>）</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right w:val="single" w:color="auto" w:sz="4" w:space="0"/>
            </w:tcBorders>
            <w:vAlign w:val="center"/>
          </w:tcPr>
          <w:p w14:paraId="24F7E944">
            <w:pPr>
              <w:keepNext w:val="0"/>
              <w:keepLines w:val="0"/>
              <w:pageBreakBefore w:val="0"/>
              <w:numPr>
                <w:ilvl w:val="0"/>
                <w:numId w:val="0"/>
              </w:numPr>
              <w:suppressLineNumbers w:val="0"/>
              <w:shd w:val="clear" w:color="auto" w:fill="auto"/>
              <w:kinsoku/>
              <w:wordWrap w:val="0"/>
              <w:overflowPunct/>
              <w:topLinePunct w:val="0"/>
              <w:autoSpaceDE/>
              <w:autoSpaceDN/>
              <w:bidi w:val="0"/>
              <w:spacing w:before="0" w:beforeAutospacing="0" w:after="0" w:afterAutospacing="0" w:line="440" w:lineRule="exact"/>
              <w:ind w:left="0" w:right="0" w:rightChars="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方案完整度</w:t>
            </w:r>
          </w:p>
        </w:tc>
        <w:tc>
          <w:tcPr>
            <w:tcW w:w="742" w:type="dxa"/>
            <w:tcBorders>
              <w:top w:val="single" w:color="auto" w:sz="4" w:space="0"/>
              <w:left w:val="single" w:color="auto" w:sz="4" w:space="0"/>
              <w:bottom w:val="single" w:color="auto" w:sz="4" w:space="0"/>
              <w:right w:val="single" w:color="auto" w:sz="4" w:space="0"/>
            </w:tcBorders>
            <w:vAlign w:val="center"/>
          </w:tcPr>
          <w:p w14:paraId="01A89F99">
            <w:pPr>
              <w:spacing w:line="520" w:lineRule="exact"/>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20</w:t>
            </w:r>
            <w:r>
              <w:rPr>
                <w:rFonts w:hint="eastAsia" w:ascii="宋体" w:hAnsi="宋体" w:eastAsia="宋体" w:cs="宋体"/>
                <w:color w:val="000000" w:themeColor="text1"/>
                <w:sz w:val="28"/>
                <w:szCs w:val="28"/>
                <w14:textFill>
                  <w14:solidFill>
                    <w14:schemeClr w14:val="tx1"/>
                  </w14:solidFill>
                </w14:textFill>
              </w:rPr>
              <w:t>分</w:t>
            </w:r>
          </w:p>
        </w:tc>
        <w:tc>
          <w:tcPr>
            <w:tcW w:w="6771" w:type="dxa"/>
            <w:tcBorders>
              <w:top w:val="single" w:color="auto" w:sz="4" w:space="0"/>
              <w:left w:val="single" w:color="auto" w:sz="4" w:space="0"/>
              <w:bottom w:val="single" w:color="auto" w:sz="4" w:space="0"/>
              <w:right w:val="single" w:color="auto" w:sz="4" w:space="0"/>
            </w:tcBorders>
            <w:vAlign w:val="center"/>
          </w:tcPr>
          <w:p w14:paraId="08A4D38F">
            <w:pPr>
              <w:spacing w:line="520" w:lineRule="exact"/>
              <w:rPr>
                <w:rFonts w:hint="eastAsia" w:asciiTheme="minorEastAsia" w:hAnsiTheme="minorEastAsia" w:cstheme="minorEastAsia"/>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根据供应商针对本项目制定的服务方案进行综合评分，方案应包含：①赛事组织执行方案；②赛事安全保障方案；③赛事医疗保障方案；④赛事熔断机制；⑤赛事风险评估报告；⑥赛事水上救援保障方案。</w:t>
            </w:r>
          </w:p>
          <w:p w14:paraId="4B392B89">
            <w:pPr>
              <w:spacing w:line="520" w:lineRule="exact"/>
              <w:rPr>
                <w:rFonts w:hint="eastAsia" w:ascii="宋体" w:hAnsi="宋体" w:eastAsia="宋体" w:cs="宋体"/>
                <w:color w:val="000000" w:themeColor="text1"/>
                <w:sz w:val="28"/>
                <w:szCs w:val="28"/>
                <w:lang w:eastAsia="zh-CN"/>
                <w14:textFill>
                  <w14:solidFill>
                    <w14:schemeClr w14:val="tx1"/>
                  </w14:solidFill>
                </w14:textFill>
              </w:rPr>
            </w:pPr>
            <w:r>
              <w:rPr>
                <w:rFonts w:hint="eastAsia" w:asciiTheme="minorEastAsia" w:hAnsiTheme="minorEastAsia" w:cstheme="minorEastAsia"/>
                <w:color w:val="000000" w:themeColor="text1"/>
                <w:sz w:val="28"/>
                <w:szCs w:val="28"/>
                <w:lang w:eastAsia="zh-CN"/>
                <w14:textFill>
                  <w14:solidFill>
                    <w14:schemeClr w14:val="tx1"/>
                  </w14:solidFill>
                </w14:textFill>
              </w:rPr>
              <w:t>以上内容贴合本项目需求的得20分；以上内容每缺少一项或内容与本项目无关的扣4分，每有一点存在内容缺陷的扣2分；扣完为止。</w:t>
            </w:r>
          </w:p>
        </w:tc>
      </w:tr>
      <w:tr w14:paraId="0111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1AD38AD3">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shd w:val="clear" w:color="auto" w:fill="auto"/>
            <w:vAlign w:val="center"/>
          </w:tcPr>
          <w:p w14:paraId="3EF9BB7B">
            <w:pPr>
              <w:keepNext w:val="0"/>
              <w:keepLines w:val="0"/>
              <w:pageBreakBefore w:val="0"/>
              <w:numPr>
                <w:ilvl w:val="0"/>
                <w:numId w:val="0"/>
              </w:numPr>
              <w:suppressLineNumbers w:val="0"/>
              <w:shd w:val="clear" w:color="auto" w:fill="auto"/>
              <w:kinsoku/>
              <w:wordWrap w:val="0"/>
              <w:overflowPunct/>
              <w:topLinePunct w:val="0"/>
              <w:autoSpaceDE/>
              <w:autoSpaceDN/>
              <w:bidi w:val="0"/>
              <w:spacing w:before="0" w:beforeAutospacing="0" w:after="0" w:afterAutospacing="0" w:line="440" w:lineRule="exact"/>
              <w:ind w:left="0" w:right="0" w:rightChars="0"/>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应急预案</w:t>
            </w:r>
          </w:p>
        </w:tc>
        <w:tc>
          <w:tcPr>
            <w:tcW w:w="742" w:type="dxa"/>
            <w:tcBorders>
              <w:top w:val="single" w:color="auto" w:sz="4" w:space="0"/>
              <w:left w:val="single" w:color="auto" w:sz="4" w:space="0"/>
              <w:bottom w:val="single" w:color="auto" w:sz="4" w:space="0"/>
              <w:right w:val="single" w:color="auto" w:sz="4" w:space="0"/>
            </w:tcBorders>
            <w:vAlign w:val="center"/>
          </w:tcPr>
          <w:p w14:paraId="25CADEA7">
            <w:pPr>
              <w:keepNext w:val="0"/>
              <w:keepLines w:val="0"/>
              <w:pageBreakBefore w:val="0"/>
              <w:numPr>
                <w:ilvl w:val="0"/>
                <w:numId w:val="0"/>
              </w:numPr>
              <w:suppressLineNumbers w:val="0"/>
              <w:shd w:val="clear" w:color="auto" w:fill="auto"/>
              <w:kinsoku/>
              <w:wordWrap w:val="0"/>
              <w:overflowPunct/>
              <w:topLinePunct w:val="0"/>
              <w:autoSpaceDE/>
              <w:autoSpaceDN/>
              <w:bidi w:val="0"/>
              <w:spacing w:before="0" w:beforeAutospacing="0" w:after="0" w:afterAutospacing="0" w:line="440" w:lineRule="exact"/>
              <w:ind w:left="0" w:right="0" w:rightChars="0"/>
              <w:jc w:val="center"/>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10分</w:t>
            </w:r>
          </w:p>
        </w:tc>
        <w:tc>
          <w:tcPr>
            <w:tcW w:w="6771" w:type="dxa"/>
            <w:tcBorders>
              <w:top w:val="single" w:color="auto" w:sz="4" w:space="0"/>
              <w:left w:val="single" w:color="auto" w:sz="4" w:space="0"/>
              <w:bottom w:val="single" w:color="auto" w:sz="4" w:space="0"/>
              <w:right w:val="single" w:color="auto" w:sz="4" w:space="0"/>
            </w:tcBorders>
            <w:vAlign w:val="center"/>
          </w:tcPr>
          <w:p w14:paraId="3338005D">
            <w:pPr>
              <w:spacing w:line="520" w:lineRule="exact"/>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根据供应商针对本项目制定的应急预案进行综合评分，应急预案应包含:①应急小组建立；②突发事件应急措施等；③现场安全保障应急预案。</w:t>
            </w:r>
          </w:p>
          <w:p w14:paraId="4C149122">
            <w:pPr>
              <w:spacing w:line="520" w:lineRule="exact"/>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以上内容贴合本项目需求的得10分；以上内容每缺少一项或内容与本项目无关的扣4分，每有一点存在内容缺陷的扣2分；扣完为止。</w:t>
            </w:r>
          </w:p>
        </w:tc>
      </w:tr>
      <w:tr w14:paraId="6B28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134" w:type="dxa"/>
            <w:vMerge w:val="continue"/>
            <w:tcBorders>
              <w:left w:val="single" w:color="auto" w:sz="4" w:space="0"/>
              <w:right w:val="single" w:color="auto" w:sz="4" w:space="0"/>
            </w:tcBorders>
            <w:vAlign w:val="center"/>
          </w:tcPr>
          <w:p w14:paraId="5488866E">
            <w:pPr>
              <w:spacing w:before="156"/>
              <w:jc w:val="center"/>
              <w:rPr>
                <w:rFonts w:ascii="宋体" w:hAnsi="宋体" w:eastAsia="宋体" w:cs="Times New Roman"/>
                <w:b/>
                <w:bCs/>
                <w:color w:val="000000" w:themeColor="text1"/>
                <w:sz w:val="28"/>
                <w:szCs w:val="28"/>
                <w14:textFill>
                  <w14:solidFill>
                    <w14:schemeClr w14:val="tx1"/>
                  </w14:solidFill>
                </w14:textFill>
              </w:rPr>
            </w:pPr>
          </w:p>
        </w:tc>
        <w:tc>
          <w:tcPr>
            <w:tcW w:w="1384" w:type="dxa"/>
            <w:tcBorders>
              <w:top w:val="single" w:color="auto" w:sz="4" w:space="0"/>
              <w:left w:val="single" w:color="auto" w:sz="4" w:space="0"/>
              <w:right w:val="single" w:color="auto" w:sz="4" w:space="0"/>
            </w:tcBorders>
            <w:vAlign w:val="center"/>
          </w:tcPr>
          <w:p w14:paraId="544BB554">
            <w:pPr>
              <w:spacing w:line="52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团队经验</w:t>
            </w:r>
          </w:p>
        </w:tc>
        <w:tc>
          <w:tcPr>
            <w:tcW w:w="742" w:type="dxa"/>
            <w:tcBorders>
              <w:top w:val="single" w:color="auto" w:sz="4" w:space="0"/>
              <w:left w:val="single" w:color="auto" w:sz="4" w:space="0"/>
              <w:bottom w:val="single" w:color="auto" w:sz="4" w:space="0"/>
              <w:right w:val="single" w:color="auto" w:sz="4" w:space="0"/>
            </w:tcBorders>
            <w:vAlign w:val="center"/>
          </w:tcPr>
          <w:p w14:paraId="72F704F4">
            <w:pPr>
              <w:spacing w:line="520" w:lineRule="exact"/>
              <w:rPr>
                <w:rFonts w:hint="default"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solidFill>
                    <w14:schemeClr w14:val="tx1"/>
                  </w14:solidFill>
                </w14:textFill>
              </w:rPr>
              <w:t>10分</w:t>
            </w:r>
          </w:p>
        </w:tc>
        <w:tc>
          <w:tcPr>
            <w:tcW w:w="6771" w:type="dxa"/>
            <w:tcBorders>
              <w:top w:val="single" w:color="auto" w:sz="4" w:space="0"/>
              <w:left w:val="single" w:color="auto" w:sz="4" w:space="0"/>
              <w:bottom w:val="single" w:color="auto" w:sz="4" w:space="0"/>
              <w:right w:val="single" w:color="auto" w:sz="4" w:space="0"/>
            </w:tcBorders>
            <w:vAlign w:val="center"/>
          </w:tcPr>
          <w:p w14:paraId="31CD0FBD">
            <w:pPr>
              <w:spacing w:line="520" w:lineRule="exact"/>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根据供应商针对本项目团队核心成员的资历、大型赛事运营经验、同类赛事服务经验几个方面进行综合打分;</w:t>
            </w:r>
          </w:p>
          <w:p w14:paraId="78635A82">
            <w:pPr>
              <w:spacing w:line="520" w:lineRule="exact"/>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一档（3分）：团队主要负责人无大型赛事运营经验，无自有重要赛事必须设施器材，无独立报名系统，无完善的线上及线下活动组织方案，无完善的参赛队管理方案、裁判、志愿者培训方案；</w:t>
            </w:r>
          </w:p>
          <w:p w14:paraId="19D4062D">
            <w:pPr>
              <w:spacing w:line="520" w:lineRule="exact"/>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二档（6分）：团队负责人有一定的赛事运营经验，自有部分赛事必须设施器材，有独立报名系统供应商，有一定的赛事线上及线下活动组织方案，有一定的参赛队管理方案、裁判、志愿者培训方案；</w:t>
            </w:r>
          </w:p>
          <w:p w14:paraId="72824B8E">
            <w:pPr>
              <w:spacing w:line="520" w:lineRule="exact"/>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三档（10分）：团队主要负责人均有丰富的大型赛事运营经验，自有重要赛事必须设施器材，有稳定赛事报名系统供应商，有完整的线上及线下活动组织方案，有完整的参赛队管理方案、裁判、志愿者培训方案；</w:t>
            </w:r>
          </w:p>
        </w:tc>
      </w:tr>
      <w:tr w14:paraId="5B04B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4" w:hRule="atLeast"/>
        </w:trPr>
        <w:tc>
          <w:tcPr>
            <w:tcW w:w="1134" w:type="dxa"/>
            <w:vMerge w:val="restart"/>
            <w:tcBorders>
              <w:top w:val="single" w:color="auto" w:sz="4" w:space="0"/>
              <w:left w:val="single" w:color="auto" w:sz="4" w:space="0"/>
              <w:bottom w:val="single" w:color="auto" w:sz="4" w:space="0"/>
              <w:right w:val="single" w:color="auto" w:sz="4" w:space="0"/>
            </w:tcBorders>
            <w:vAlign w:val="center"/>
          </w:tcPr>
          <w:p w14:paraId="29B2841F">
            <w:pPr>
              <w:spacing w:before="156"/>
              <w:jc w:val="center"/>
              <w:rPr>
                <w:rFonts w:ascii="宋体" w:hAnsi="宋体" w:eastAsia="宋体" w:cs="Times New Roman"/>
                <w:b/>
                <w:color w:val="000000" w:themeColor="text1"/>
                <w:sz w:val="28"/>
                <w:szCs w:val="28"/>
                <w14:textFill>
                  <w14:solidFill>
                    <w14:schemeClr w14:val="tx1"/>
                  </w14:solidFill>
                </w14:textFill>
              </w:rPr>
            </w:pPr>
            <w:r>
              <w:rPr>
                <w:rFonts w:hint="eastAsia" w:ascii="宋体" w:hAnsi="宋体" w:eastAsia="宋体" w:cs="Times New Roman"/>
                <w:b/>
                <w:color w:val="000000" w:themeColor="text1"/>
                <w:sz w:val="28"/>
                <w:szCs w:val="28"/>
                <w14:textFill>
                  <w14:solidFill>
                    <w14:schemeClr w14:val="tx1"/>
                  </w14:solidFill>
                </w14:textFill>
              </w:rPr>
              <w:t>商务部分（</w:t>
            </w:r>
            <w:r>
              <w:rPr>
                <w:rFonts w:hint="eastAsia" w:ascii="宋体" w:hAnsi="宋体" w:eastAsia="宋体" w:cs="Times New Roman"/>
                <w:b/>
                <w:color w:val="000000" w:themeColor="text1"/>
                <w:sz w:val="28"/>
                <w:szCs w:val="28"/>
                <w:lang w:val="en-US" w:eastAsia="zh-CN"/>
                <w14:textFill>
                  <w14:solidFill>
                    <w14:schemeClr w14:val="tx1"/>
                  </w14:solidFill>
                </w14:textFill>
              </w:rPr>
              <w:t>20</w:t>
            </w:r>
            <w:r>
              <w:rPr>
                <w:rFonts w:hint="eastAsia" w:ascii="宋体" w:hAnsi="宋体" w:eastAsia="宋体" w:cs="Times New Roman"/>
                <w:b/>
                <w:color w:val="000000" w:themeColor="text1"/>
                <w:sz w:val="28"/>
                <w:szCs w:val="28"/>
                <w14:textFill>
                  <w14:solidFill>
                    <w14:schemeClr w14:val="tx1"/>
                  </w14:solidFill>
                </w14:textFill>
              </w:rPr>
              <w:t>分）</w:t>
            </w:r>
          </w:p>
        </w:tc>
        <w:tc>
          <w:tcPr>
            <w:tcW w:w="1384" w:type="dxa"/>
            <w:tcBorders>
              <w:top w:val="single" w:color="auto" w:sz="4" w:space="0"/>
              <w:left w:val="single" w:color="auto" w:sz="4" w:space="0"/>
              <w:right w:val="single" w:color="auto" w:sz="4" w:space="0"/>
            </w:tcBorders>
            <w:vAlign w:val="center"/>
          </w:tcPr>
          <w:p w14:paraId="4C4E999B">
            <w:pPr>
              <w:jc w:val="left"/>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业绩</w:t>
            </w:r>
          </w:p>
        </w:tc>
        <w:tc>
          <w:tcPr>
            <w:tcW w:w="742" w:type="dxa"/>
            <w:tcBorders>
              <w:top w:val="single" w:color="auto" w:sz="4" w:space="0"/>
              <w:left w:val="single" w:color="auto" w:sz="4" w:space="0"/>
              <w:right w:val="single" w:color="auto" w:sz="4" w:space="0"/>
            </w:tcBorders>
            <w:vAlign w:val="center"/>
          </w:tcPr>
          <w:p w14:paraId="7333D67C">
            <w:pPr>
              <w:spacing w:line="520" w:lineRule="exact"/>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10分</w:t>
            </w:r>
          </w:p>
        </w:tc>
        <w:tc>
          <w:tcPr>
            <w:tcW w:w="6771" w:type="dxa"/>
            <w:tcBorders>
              <w:top w:val="single" w:color="auto" w:sz="4" w:space="0"/>
              <w:left w:val="single" w:color="auto" w:sz="4" w:space="0"/>
              <w:right w:val="single" w:color="auto" w:sz="4" w:space="0"/>
            </w:tcBorders>
            <w:vAlign w:val="center"/>
          </w:tcPr>
          <w:p w14:paraId="122AE039">
            <w:pPr>
              <w:spacing w:line="520" w:lineRule="exact"/>
              <w:rPr>
                <w:rFonts w:hint="eastAsia" w:asciiTheme="minorEastAsia" w:hAnsi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cstheme="minorEastAsia"/>
                <w:color w:val="000000" w:themeColor="text1"/>
                <w:sz w:val="28"/>
                <w:szCs w:val="28"/>
                <w:lang w:val="en-US" w:eastAsia="zh-CN"/>
                <w14:textFill>
                  <w14:solidFill>
                    <w14:schemeClr w14:val="tx1"/>
                  </w14:solidFill>
                </w14:textFill>
              </w:rPr>
              <w:t>2022年1月1日以来，供应商每具有1个类似项目（国家级水上赛事运营）业绩得5分，本项最高得10分。需提供相关赛事协议或出具的相关证明（只针对已举办赛事）</w:t>
            </w:r>
          </w:p>
        </w:tc>
      </w:tr>
      <w:tr w14:paraId="6BB4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trPr>
        <w:tc>
          <w:tcPr>
            <w:tcW w:w="1134" w:type="dxa"/>
            <w:vMerge w:val="continue"/>
            <w:tcBorders>
              <w:top w:val="single" w:color="auto" w:sz="4" w:space="0"/>
              <w:left w:val="single" w:color="auto" w:sz="4" w:space="0"/>
              <w:bottom w:val="single" w:color="auto" w:sz="4" w:space="0"/>
              <w:right w:val="single" w:color="auto" w:sz="4" w:space="0"/>
            </w:tcBorders>
            <w:vAlign w:val="center"/>
          </w:tcPr>
          <w:p w14:paraId="6AA3A62E">
            <w:pPr>
              <w:widowControl/>
              <w:jc w:val="left"/>
              <w:rPr>
                <w:rFonts w:ascii="宋体" w:hAnsi="宋体" w:eastAsia="宋体" w:cs="Times New Roman"/>
                <w:color w:val="000000" w:themeColor="text1"/>
                <w:sz w:val="28"/>
                <w:szCs w:val="28"/>
                <w14:textFill>
                  <w14:solidFill>
                    <w14:schemeClr w14:val="tx1"/>
                  </w14:solidFill>
                </w14:textFill>
              </w:rPr>
            </w:pPr>
          </w:p>
        </w:tc>
        <w:tc>
          <w:tcPr>
            <w:tcW w:w="1384" w:type="dxa"/>
            <w:tcBorders>
              <w:top w:val="single" w:color="auto" w:sz="4" w:space="0"/>
              <w:left w:val="single" w:color="auto" w:sz="4" w:space="0"/>
              <w:bottom w:val="single" w:color="auto" w:sz="4" w:space="0"/>
              <w:right w:val="single" w:color="auto" w:sz="4" w:space="0"/>
            </w:tcBorders>
            <w:vAlign w:val="center"/>
          </w:tcPr>
          <w:p w14:paraId="0E864C2F">
            <w:pPr>
              <w:spacing w:line="360" w:lineRule="auto"/>
              <w:jc w:val="center"/>
              <w:rPr>
                <w:rFonts w:ascii="宋体" w:hAnsi="宋体" w:eastAsia="宋体" w:cs="宋体"/>
                <w:sz w:val="24"/>
                <w:szCs w:val="24"/>
              </w:rPr>
            </w:pPr>
            <w:r>
              <w:rPr>
                <w:rFonts w:hint="eastAsia" w:ascii="宋体" w:hAnsi="宋体" w:eastAsia="宋体" w:cs="宋体"/>
                <w:color w:val="000000" w:themeColor="text1"/>
                <w:sz w:val="28"/>
                <w:szCs w:val="28"/>
                <w14:textFill>
                  <w14:solidFill>
                    <w14:schemeClr w14:val="tx1"/>
                  </w14:solidFill>
                </w14:textFill>
              </w:rPr>
              <w:t>售后服务保障</w:t>
            </w:r>
          </w:p>
        </w:tc>
        <w:tc>
          <w:tcPr>
            <w:tcW w:w="742" w:type="dxa"/>
            <w:tcBorders>
              <w:top w:val="single" w:color="auto" w:sz="4" w:space="0"/>
              <w:left w:val="single" w:color="auto" w:sz="4" w:space="0"/>
              <w:right w:val="single" w:color="auto" w:sz="4" w:space="0"/>
            </w:tcBorders>
            <w:vAlign w:val="center"/>
          </w:tcPr>
          <w:p w14:paraId="64610722">
            <w:pPr>
              <w:widowControl/>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lang w:val="en-US" w:eastAsia="zh-CN"/>
                <w14:textFill>
                  <w14:solidFill>
                    <w14:schemeClr w14:val="tx1"/>
                  </w14:solidFill>
                </w14:textFill>
              </w:rPr>
              <w:t>10</w:t>
            </w:r>
            <w:r>
              <w:rPr>
                <w:rFonts w:hint="eastAsia" w:ascii="宋体" w:hAnsi="宋体" w:eastAsia="宋体" w:cs="Times New Roman"/>
                <w:color w:val="000000" w:themeColor="text1"/>
                <w:sz w:val="28"/>
                <w:szCs w:val="28"/>
                <w14:textFill>
                  <w14:solidFill>
                    <w14:schemeClr w14:val="tx1"/>
                  </w14:solidFill>
                </w14:textFill>
              </w:rPr>
              <w:t>分</w:t>
            </w:r>
          </w:p>
        </w:tc>
        <w:tc>
          <w:tcPr>
            <w:tcW w:w="6771" w:type="dxa"/>
            <w:tcBorders>
              <w:top w:val="single" w:color="auto" w:sz="4" w:space="0"/>
              <w:left w:val="single" w:color="auto" w:sz="4" w:space="0"/>
              <w:right w:val="single" w:color="auto" w:sz="4" w:space="0"/>
            </w:tcBorders>
            <w:vAlign w:val="center"/>
          </w:tcPr>
          <w:p w14:paraId="2D3185E1">
            <w:pPr>
              <w:pStyle w:val="5"/>
              <w:keepNext w:val="0"/>
              <w:keepLines w:val="0"/>
              <w:pageBreakBefore w:val="0"/>
              <w:suppressLineNumbers w:val="0"/>
              <w:kinsoku/>
              <w:overflowPunct/>
              <w:topLinePunct w:val="0"/>
              <w:bidi w:val="0"/>
              <w:spacing w:before="0" w:beforeAutospacing="0" w:after="0" w:afterAutospacing="0" w:line="440" w:lineRule="exact"/>
              <w:ind w:right="0"/>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评标委员会结合供应商本地后勤保障资源（包括不限于赛事酒店住宿、赛事安保、赛事接待等）及相关赛事服务方案进行打分。</w:t>
            </w:r>
          </w:p>
          <w:p w14:paraId="70883F9F">
            <w:pPr>
              <w:pStyle w:val="5"/>
              <w:keepNext w:val="0"/>
              <w:keepLines w:val="0"/>
              <w:pageBreakBefore w:val="0"/>
              <w:suppressLineNumbers w:val="0"/>
              <w:kinsoku/>
              <w:overflowPunct/>
              <w:topLinePunct w:val="0"/>
              <w:bidi w:val="0"/>
              <w:spacing w:before="0" w:beforeAutospacing="0" w:after="0" w:afterAutospacing="0" w:line="440" w:lineRule="exact"/>
              <w:ind w:right="0"/>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一档(3分)：可提供赛事后勤保障服务（包括不限于赛事酒店住宿、赛事安保、赛事接待等），方案不能完全满足赛事后勤保障服务需求，不能为采购人提出具体服务的响应及到场服务时间；</w:t>
            </w:r>
          </w:p>
          <w:p w14:paraId="6B1B0BF7">
            <w:pPr>
              <w:pStyle w:val="5"/>
              <w:keepNext w:val="0"/>
              <w:keepLines w:val="0"/>
              <w:pageBreakBefore w:val="0"/>
              <w:suppressLineNumbers w:val="0"/>
              <w:kinsoku/>
              <w:overflowPunct/>
              <w:topLinePunct w:val="0"/>
              <w:bidi w:val="0"/>
              <w:spacing w:before="0" w:beforeAutospacing="0" w:after="0" w:afterAutospacing="0" w:line="440" w:lineRule="exact"/>
              <w:ind w:right="0"/>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二档(6分)：可提供赛事后勤保障服务（包括不限于赛事酒店住宿、赛事安保、赛事接待等），方案可基本满足赛事后勤保障服务需求，售后服务人员能在采购人提出具体服务要求后12个小时响应且到场服务；</w:t>
            </w:r>
          </w:p>
          <w:p w14:paraId="2C0217B6">
            <w:pPr>
              <w:widowControl/>
              <w:spacing w:line="520" w:lineRule="exact"/>
              <w:rPr>
                <w:rFonts w:ascii="宋体" w:hAnsi="宋体" w:eastAsia="宋体" w:cs="Times New Roman"/>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三档(</w:t>
            </w:r>
            <w:r>
              <w:rPr>
                <w:rFonts w:hint="eastAsia" w:asciiTheme="minorEastAsia" w:hAnsiTheme="minorEastAsia" w:cstheme="minorEastAsia"/>
                <w:color w:val="000000" w:themeColor="text1"/>
                <w:kern w:val="2"/>
                <w:sz w:val="28"/>
                <w:szCs w:val="28"/>
                <w:lang w:val="en-US" w:eastAsia="zh-CN" w:bidi="ar-SA"/>
                <w14:textFill>
                  <w14:solidFill>
                    <w14:schemeClr w14:val="tx1"/>
                  </w14:solidFill>
                </w14:textFill>
              </w:rPr>
              <w:t>10</w:t>
            </w:r>
            <w:r>
              <w:rPr>
                <w:rFonts w:hint="eastAsia" w:asciiTheme="minorEastAsia" w:hAnsiTheme="minorEastAsia" w:eastAsiaTheme="minorEastAsia" w:cstheme="minorEastAsia"/>
                <w:color w:val="000000" w:themeColor="text1"/>
                <w:kern w:val="2"/>
                <w:sz w:val="28"/>
                <w:szCs w:val="28"/>
                <w:lang w:val="en-US" w:eastAsia="zh-CN" w:bidi="ar-SA"/>
                <w14:textFill>
                  <w14:solidFill>
                    <w14:schemeClr w14:val="tx1"/>
                  </w14:solidFill>
                </w14:textFill>
              </w:rPr>
              <w:t>分)：可提供独立本地赛事后勤保障服务（包括不限于赛事酒店住宿、赛事安保、赛事接待等），有完善的服务实施方案，有可靠的服务响应体系，可以为采购人提供24小时响应服务，方案可较好的满足赛事后勤保障服务需求，售后服务人员能在采购人提出具体服务要求后2个小时内提供到场服务。</w:t>
            </w:r>
          </w:p>
        </w:tc>
      </w:tr>
    </w:tbl>
    <w:p w14:paraId="7171E5DB">
      <w:pPr>
        <w:spacing w:line="600" w:lineRule="exact"/>
        <w:ind w:firstLine="560" w:firstLineChars="200"/>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注：评标过程中涉及到资格审查、企业荣誉、人员业绩、企业业绩等计分部分时，以投标单位自行上传到响应文件中的相应内容为准。</w:t>
      </w:r>
    </w:p>
    <w:p w14:paraId="34EF2C37">
      <w:pPr>
        <w:rPr>
          <w:rFonts w:hint="eastAsia"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br w:type="page"/>
      </w:r>
    </w:p>
    <w:p w14:paraId="756DD71C">
      <w:pPr>
        <w:spacing w:line="360" w:lineRule="auto"/>
        <w:jc w:val="center"/>
        <w:outlineLvl w:val="0"/>
        <w:rPr>
          <w:rFonts w:ascii="Calibri" w:hAnsi="宋体" w:eastAsia="宋体" w:cs="Times New Roman"/>
          <w:b/>
          <w:color w:val="000000" w:themeColor="text1"/>
          <w:sz w:val="32"/>
          <w:szCs w:val="32"/>
          <w14:textFill>
            <w14:solidFill>
              <w14:schemeClr w14:val="tx1"/>
            </w14:solidFill>
          </w14:textFill>
        </w:rPr>
      </w:pPr>
      <w:bookmarkStart w:id="30" w:name="_Toc1283"/>
      <w:r>
        <w:rPr>
          <w:rFonts w:hint="eastAsia" w:ascii="Calibri" w:hAnsi="宋体" w:eastAsia="宋体" w:cs="Times New Roman"/>
          <w:b/>
          <w:color w:val="000000" w:themeColor="text1"/>
          <w:sz w:val="32"/>
          <w:szCs w:val="32"/>
          <w14:textFill>
            <w14:solidFill>
              <w14:schemeClr w14:val="tx1"/>
            </w14:solidFill>
          </w14:textFill>
        </w:rPr>
        <w:t>第六章磋商文件格式</w:t>
      </w:r>
      <w:bookmarkEnd w:id="30"/>
    </w:p>
    <w:p w14:paraId="0D2729AC">
      <w:pPr>
        <w:spacing w:line="360" w:lineRule="auto"/>
        <w:jc w:val="center"/>
        <w:rPr>
          <w:rFonts w:ascii="Calibri" w:hAnsi="宋体" w:eastAsia="宋体" w:cs="Times New Roman"/>
          <w:b/>
          <w:color w:val="000000" w:themeColor="text1"/>
          <w:sz w:val="32"/>
          <w:szCs w:val="32"/>
          <w14:textFill>
            <w14:solidFill>
              <w14:schemeClr w14:val="tx1"/>
            </w14:solidFill>
          </w14:textFill>
        </w:rPr>
      </w:pPr>
      <w:r>
        <w:rPr>
          <w:rFonts w:hint="eastAsia" w:ascii="Calibri" w:hAnsi="宋体" w:eastAsia="宋体" w:cs="Times New Roman"/>
          <w:b/>
          <w:color w:val="000000" w:themeColor="text1"/>
          <w:sz w:val="32"/>
          <w:szCs w:val="32"/>
          <w14:textFill>
            <w14:solidFill>
              <w14:schemeClr w14:val="tx1"/>
            </w14:solidFill>
          </w14:textFill>
        </w:rPr>
        <w:t>封面</w:t>
      </w:r>
    </w:p>
    <w:p w14:paraId="25BE6F01">
      <w:pPr>
        <w:jc w:val="center"/>
        <w:rPr>
          <w:rFonts w:ascii="黑体" w:hAnsi="Calibri" w:eastAsia="黑体" w:cs="黑体"/>
          <w:b/>
          <w:color w:val="000000" w:themeColor="text1"/>
          <w:sz w:val="48"/>
          <w:szCs w:val="48"/>
          <w14:textFill>
            <w14:solidFill>
              <w14:schemeClr w14:val="tx1"/>
            </w14:solidFill>
          </w14:textFill>
        </w:rPr>
      </w:pPr>
    </w:p>
    <w:p w14:paraId="2328CB88">
      <w:pPr>
        <w:widowControl/>
        <w:jc w:val="center"/>
        <w:rPr>
          <w:rFonts w:hint="eastAsia" w:ascii="黑体" w:hAnsi="黑体" w:eastAsia="黑体" w:cs="Times New Roman"/>
          <w:bCs/>
          <w:color w:val="000000" w:themeColor="text1"/>
          <w:sz w:val="36"/>
          <w:szCs w:val="36"/>
          <w:lang w:eastAsia="zh-CN"/>
          <w14:textFill>
            <w14:solidFill>
              <w14:schemeClr w14:val="tx1"/>
            </w14:solidFill>
          </w14:textFill>
        </w:rPr>
      </w:pPr>
      <w:r>
        <w:rPr>
          <w:rFonts w:hint="eastAsia" w:ascii="黑体" w:hAnsi="黑体" w:eastAsia="黑体" w:cs="Times New Roman"/>
          <w:bCs/>
          <w:color w:val="000000" w:themeColor="text1"/>
          <w:sz w:val="36"/>
          <w:szCs w:val="36"/>
          <w:lang w:eastAsia="zh-CN"/>
          <w14:textFill>
            <w14:solidFill>
              <w14:schemeClr w14:val="tx1"/>
            </w14:solidFill>
          </w14:textFill>
        </w:rPr>
        <w:t>2025年中国桨板超级联赛暨第三届“陕州·黄河杯”桨板挑战赛采购项目</w:t>
      </w:r>
    </w:p>
    <w:p w14:paraId="7104A69D">
      <w:pPr>
        <w:widowControl/>
        <w:jc w:val="center"/>
        <w:rPr>
          <w:rFonts w:ascii="宋体" w:hAnsi="宋体" w:eastAsia="宋体" w:cs="Times New Roman"/>
          <w:b/>
          <w:bCs/>
          <w:color w:val="000000" w:themeColor="text1"/>
          <w:kern w:val="0"/>
          <w:sz w:val="72"/>
          <w:szCs w:val="72"/>
          <w14:textFill>
            <w14:solidFill>
              <w14:schemeClr w14:val="tx1"/>
            </w14:solidFill>
          </w14:textFill>
        </w:rPr>
      </w:pPr>
    </w:p>
    <w:p w14:paraId="25470A24">
      <w:pPr>
        <w:widowControl/>
        <w:jc w:val="center"/>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b/>
          <w:bCs/>
          <w:color w:val="000000" w:themeColor="text1"/>
          <w:kern w:val="0"/>
          <w:sz w:val="72"/>
          <w:szCs w:val="72"/>
          <w14:textFill>
            <w14:solidFill>
              <w14:schemeClr w14:val="tx1"/>
            </w14:solidFill>
          </w14:textFill>
        </w:rPr>
        <w:t>响 应 文 件</w:t>
      </w:r>
      <w:bookmarkStart w:id="31" w:name="_Toc169921407"/>
      <w:bookmarkEnd w:id="31"/>
      <w:bookmarkStart w:id="32" w:name="_Toc223432387"/>
      <w:bookmarkEnd w:id="32"/>
      <w:bookmarkStart w:id="33" w:name="_Toc171073042"/>
      <w:bookmarkEnd w:id="33"/>
      <w:bookmarkStart w:id="34" w:name="_Toc171073207"/>
      <w:bookmarkEnd w:id="34"/>
    </w:p>
    <w:p w14:paraId="7508E3C4">
      <w:pPr>
        <w:widowControl/>
        <w:jc w:val="center"/>
        <w:rPr>
          <w:rFonts w:ascii="宋体" w:hAnsi="宋体" w:eastAsia="宋体" w:cs="Times New Roman"/>
          <w:color w:val="000000" w:themeColor="text1"/>
          <w:kern w:val="0"/>
          <w:sz w:val="72"/>
          <w:szCs w:val="72"/>
          <w14:textFill>
            <w14:solidFill>
              <w14:schemeClr w14:val="tx1"/>
            </w14:solidFill>
          </w14:textFill>
        </w:rPr>
      </w:pPr>
    </w:p>
    <w:p w14:paraId="27AE1F70">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4FD3C82A">
      <w:pPr>
        <w:widowControl/>
        <w:jc w:val="center"/>
        <w:rPr>
          <w:rFonts w:ascii="宋体" w:hAnsi="宋体" w:eastAsia="宋体" w:cs="Times New Roman"/>
          <w:color w:val="000000" w:themeColor="text1"/>
          <w:kern w:val="0"/>
          <w:sz w:val="72"/>
          <w:szCs w:val="72"/>
          <w14:textFill>
            <w14:solidFill>
              <w14:schemeClr w14:val="tx1"/>
            </w14:solidFill>
          </w14:textFill>
        </w:rPr>
      </w:pPr>
    </w:p>
    <w:p w14:paraId="5375DC46">
      <w:pPr>
        <w:widowControl/>
        <w:jc w:val="center"/>
        <w:rPr>
          <w:rFonts w:ascii="Calibri" w:hAnsi="Calibri" w:eastAsia="宋体" w:cs="Times New Roman"/>
          <w:color w:val="000000" w:themeColor="text1"/>
          <w:kern w:val="0"/>
          <w:sz w:val="20"/>
          <w:szCs w:val="20"/>
          <w14:textFill>
            <w14:solidFill>
              <w14:schemeClr w14:val="tx1"/>
            </w14:solidFill>
          </w14:textFill>
        </w:rPr>
      </w:pPr>
    </w:p>
    <w:p w14:paraId="612E167B">
      <w:pPr>
        <w:widowControl/>
        <w:jc w:val="left"/>
        <w:rPr>
          <w:rFonts w:ascii="宋体" w:hAnsi="宋体" w:eastAsia="宋体" w:cs="Times New Roman"/>
          <w:b/>
          <w:bCs/>
          <w:color w:val="000000" w:themeColor="text1"/>
          <w:kern w:val="0"/>
          <w:sz w:val="30"/>
          <w:szCs w:val="30"/>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项目编号：</w:t>
      </w:r>
    </w:p>
    <w:p w14:paraId="12A80BA9">
      <w:pPr>
        <w:widowControl/>
        <w:spacing w:line="660" w:lineRule="auto"/>
        <w:rPr>
          <w:rFonts w:ascii="Calibri" w:hAnsi="Calibri" w:eastAsia="宋体" w:cs="Times New Roman"/>
          <w:color w:val="000000" w:themeColor="text1"/>
          <w:kern w:val="0"/>
          <w:sz w:val="27"/>
          <w:szCs w:val="27"/>
          <w14:textFill>
            <w14:solidFill>
              <w14:schemeClr w14:val="tx1"/>
            </w14:solidFill>
          </w14:textFill>
        </w:rPr>
      </w:pPr>
      <w:r>
        <w:rPr>
          <w:rFonts w:hint="eastAsia" w:ascii="宋体" w:hAnsi="宋体" w:eastAsia="宋体" w:cs="Times New Roman"/>
          <w:b/>
          <w:bCs/>
          <w:color w:val="000000" w:themeColor="text1"/>
          <w:kern w:val="0"/>
          <w:sz w:val="30"/>
          <w:szCs w:val="30"/>
          <w14:textFill>
            <w14:solidFill>
              <w14:schemeClr w14:val="tx1"/>
            </w14:solidFill>
          </w14:textFill>
        </w:rPr>
        <w:t> </w:t>
      </w:r>
    </w:p>
    <w:p w14:paraId="1ABA06C3">
      <w:pPr>
        <w:widowControl/>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p w14:paraId="7B1513EC">
      <w:pPr>
        <w:widowControl/>
        <w:spacing w:line="480" w:lineRule="auto"/>
        <w:rPr>
          <w:rFonts w:ascii="Calibri" w:hAnsi="Calibri" w:eastAsia="宋体" w:cs="Times New Roman"/>
          <w:color w:val="000000" w:themeColor="text1"/>
          <w:kern w:val="0"/>
          <w:sz w:val="20"/>
          <w:szCs w:val="20"/>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磋商供应商名称（盖章）</w:t>
      </w:r>
    </w:p>
    <w:p w14:paraId="0ABF251B">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法定代表人：（盖章）</w:t>
      </w:r>
      <w:r>
        <w:rPr>
          <w:rFonts w:ascii="宋体" w:hAnsi="宋体" w:eastAsia="宋体" w:cs="Times New Roman"/>
          <w:color w:val="000000" w:themeColor="text1"/>
          <w:sz w:val="28"/>
          <w:szCs w:val="28"/>
          <w14:textFill>
            <w14:solidFill>
              <w14:schemeClr w14:val="tx1"/>
            </w14:solidFill>
          </w14:textFill>
        </w:rPr>
        <w:t> </w:t>
      </w:r>
    </w:p>
    <w:p w14:paraId="3AB38D92">
      <w:pP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Times New Roman"/>
          <w:color w:val="000000" w:themeColor="text1"/>
          <w:sz w:val="28"/>
          <w:szCs w:val="28"/>
          <w14:textFill>
            <w14:solidFill>
              <w14:schemeClr w14:val="tx1"/>
            </w14:solidFill>
          </w14:textFill>
        </w:rPr>
        <w:t>日       期：</w:t>
      </w:r>
    </w:p>
    <w:p w14:paraId="3AB3BEF0">
      <w:pPr>
        <w:rPr>
          <w:rFonts w:ascii="Calibri" w:hAnsi="Calibri" w:eastAsia="宋体" w:cs="Times New Roman"/>
          <w:color w:val="000000" w:themeColor="text1"/>
          <w14:textFill>
            <w14:solidFill>
              <w14:schemeClr w14:val="tx1"/>
            </w14:solidFill>
          </w14:textFill>
        </w:rPr>
      </w:pPr>
    </w:p>
    <w:p w14:paraId="238C7FCD">
      <w:pPr>
        <w:rPr>
          <w:rFonts w:ascii="Calibri" w:hAnsi="Calibri" w:eastAsia="宋体" w:cs="Times New Roman"/>
          <w:color w:val="000000" w:themeColor="text1"/>
          <w14:textFill>
            <w14:solidFill>
              <w14:schemeClr w14:val="tx1"/>
            </w14:solidFill>
          </w14:textFill>
        </w:rPr>
      </w:pPr>
    </w:p>
    <w:p w14:paraId="7D1DB4F5">
      <w:pPr>
        <w:rPr>
          <w:rFonts w:ascii="Calibri" w:hAnsi="Calibri" w:eastAsia="宋体" w:cs="Times New Roman"/>
          <w:color w:val="000000" w:themeColor="text1"/>
          <w14:textFill>
            <w14:solidFill>
              <w14:schemeClr w14:val="tx1"/>
            </w14:solidFill>
          </w14:textFill>
        </w:rPr>
      </w:pPr>
    </w:p>
    <w:p w14:paraId="7D16942E">
      <w:pPr>
        <w:pStyle w:val="2"/>
      </w:pPr>
    </w:p>
    <w:p w14:paraId="7F001F7A">
      <w:pPr>
        <w:spacing w:line="520" w:lineRule="exact"/>
        <w:rPr>
          <w:rFonts w:ascii="宋体" w:hAnsi="宋体" w:eastAsia="宋体" w:cs="Times New Roman"/>
          <w:kern w:val="0"/>
          <w:sz w:val="24"/>
          <w:szCs w:val="24"/>
        </w:rPr>
      </w:pPr>
    </w:p>
    <w:p w14:paraId="0C6D9758">
      <w:pPr>
        <w:pStyle w:val="6"/>
      </w:pPr>
    </w:p>
    <w:p w14:paraId="3EC66A64">
      <w:pPr>
        <w:widowControl/>
        <w:spacing w:line="480" w:lineRule="auto"/>
        <w:jc w:val="center"/>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一、法定代表人身份证明书</w:t>
      </w:r>
    </w:p>
    <w:p w14:paraId="00B29343">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单位名称：</w:t>
      </w:r>
    </w:p>
    <w:p w14:paraId="56193C75">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单位性质：</w:t>
      </w:r>
    </w:p>
    <w:p w14:paraId="1551BFB4">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地    址：</w:t>
      </w:r>
    </w:p>
    <w:p w14:paraId="7614A06A">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成立时间：年 月日</w:t>
      </w:r>
    </w:p>
    <w:p w14:paraId="514F44C0">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经营期限：</w:t>
      </w:r>
    </w:p>
    <w:p w14:paraId="1C1AA887">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姓    名：</w:t>
      </w:r>
    </w:p>
    <w:p w14:paraId="7C6BB775">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性    别：</w:t>
      </w:r>
    </w:p>
    <w:p w14:paraId="1CCE7B29">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年    龄：</w:t>
      </w:r>
    </w:p>
    <w:p w14:paraId="20EA9CB2">
      <w:pPr>
        <w:spacing w:line="480" w:lineRule="auto"/>
        <w:rPr>
          <w:rFonts w:ascii="宋体" w:hAnsi="宋体"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职    务：</w:t>
      </w:r>
    </w:p>
    <w:p w14:paraId="15C089E6">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系（</w:t>
      </w:r>
      <w:r>
        <w:rPr>
          <w:rFonts w:hint="eastAsia" w:ascii="宋体" w:hAnsi="宋体" w:eastAsia="宋体" w:cs="Times New Roman"/>
          <w:color w:val="000000" w:themeColor="text1"/>
          <w:kern w:val="0"/>
          <w:sz w:val="28"/>
          <w:szCs w:val="28"/>
          <w:u w:val="single"/>
          <w14:textFill>
            <w14:solidFill>
              <w14:schemeClr w14:val="tx1"/>
            </w14:solidFill>
          </w14:textFill>
        </w:rPr>
        <w:t>供应商单位名称</w:t>
      </w:r>
      <w:r>
        <w:rPr>
          <w:rFonts w:hint="eastAsia" w:ascii="宋体" w:hAnsi="宋体" w:eastAsia="宋体" w:cs="Times New Roman"/>
          <w:color w:val="000000" w:themeColor="text1"/>
          <w:kern w:val="0"/>
          <w:sz w:val="28"/>
          <w:szCs w:val="28"/>
          <w14:textFill>
            <w14:solidFill>
              <w14:schemeClr w14:val="tx1"/>
            </w14:solidFill>
          </w14:textFill>
        </w:rPr>
        <w:t>）的法定代表人。</w:t>
      </w:r>
    </w:p>
    <w:p w14:paraId="576BEC3B">
      <w:pPr>
        <w:spacing w:line="480" w:lineRule="auto"/>
        <w:rPr>
          <w:rFonts w:ascii="宋体" w:hAnsi="宋体" w:eastAsia="宋体" w:cs="Times New Roman"/>
          <w:color w:val="000000" w:themeColor="text1"/>
          <w:kern w:val="0"/>
          <w:sz w:val="28"/>
          <w:szCs w:val="28"/>
          <w14:textFill>
            <w14:solidFill>
              <w14:schemeClr w14:val="tx1"/>
            </w14:solidFill>
          </w14:textFill>
        </w:rPr>
      </w:pPr>
    </w:p>
    <w:p w14:paraId="4960636D">
      <w:pPr>
        <w:spacing w:line="480" w:lineRule="auto"/>
        <w:rPr>
          <w:rFonts w:ascii="宋体" w:hAnsi="宋体" w:eastAsia="宋体" w:cs="Times New Roman"/>
          <w:b/>
          <w:color w:val="000000" w:themeColor="text1"/>
          <w:kern w:val="0"/>
          <w:sz w:val="28"/>
          <w:szCs w:val="28"/>
          <w14:textFill>
            <w14:solidFill>
              <w14:schemeClr w14:val="tx1"/>
            </w14:solidFill>
          </w14:textFill>
        </w:rPr>
      </w:pPr>
      <w:r>
        <w:rPr>
          <w:rFonts w:hint="eastAsia" w:ascii="宋体" w:hAnsi="宋体" w:eastAsia="宋体" w:cs="Times New Roman"/>
          <w:b/>
          <w:color w:val="000000" w:themeColor="text1"/>
          <w:kern w:val="0"/>
          <w:sz w:val="28"/>
          <w:szCs w:val="28"/>
          <w14:textFill>
            <w14:solidFill>
              <w14:schemeClr w14:val="tx1"/>
            </w14:solidFill>
          </w14:textFill>
        </w:rPr>
        <w:t>特此证明。</w:t>
      </w:r>
    </w:p>
    <w:p w14:paraId="0CA3A9D7">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磋商供应商：(盖章)</w:t>
      </w:r>
    </w:p>
    <w:p w14:paraId="3D442D0D">
      <w:pPr>
        <w:spacing w:line="480" w:lineRule="auto"/>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日  期：   年月日</w:t>
      </w:r>
    </w:p>
    <w:p w14:paraId="03DB9EB7">
      <w:pPr>
        <w:spacing w:line="480" w:lineRule="auto"/>
        <w:rPr>
          <w:rFonts w:ascii="宋体" w:hAnsi="宋体" w:eastAsia="宋体" w:cs="Times New Roman"/>
          <w:color w:val="000000" w:themeColor="text1"/>
          <w:kern w:val="0"/>
          <w:sz w:val="24"/>
          <w:szCs w:val="24"/>
          <w14:textFill>
            <w14:solidFill>
              <w14:schemeClr w14:val="tx1"/>
            </w14:solidFill>
          </w14:textFill>
        </w:rPr>
      </w:pPr>
    </w:p>
    <w:p w14:paraId="7303E204">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6C5EF165">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02EC964C">
      <w:pPr>
        <w:spacing w:line="360" w:lineRule="auto"/>
        <w:outlineLvl w:val="1"/>
        <w:rPr>
          <w:rFonts w:ascii="宋体" w:hAnsi="Calibri" w:eastAsia="宋体" w:cs="Times New Roman"/>
          <w:bCs/>
          <w:color w:val="000000" w:themeColor="text1"/>
          <w:sz w:val="28"/>
          <w:szCs w:val="28"/>
          <w14:textFill>
            <w14:solidFill>
              <w14:schemeClr w14:val="tx1"/>
            </w14:solidFill>
          </w14:textFill>
        </w:rPr>
      </w:pPr>
    </w:p>
    <w:p w14:paraId="2A48D3B0">
      <w:pPr>
        <w:spacing w:line="360" w:lineRule="auto"/>
        <w:outlineLvl w:val="1"/>
        <w:rPr>
          <w:rFonts w:ascii="宋体" w:hAnsi="Calibri" w:eastAsia="宋体" w:cs="Times New Roman"/>
          <w:bCs/>
          <w:color w:val="000000" w:themeColor="text1"/>
          <w:sz w:val="28"/>
          <w:szCs w:val="28"/>
          <w14:textFill>
            <w14:solidFill>
              <w14:schemeClr w14:val="tx1"/>
            </w14:solidFill>
          </w14:textFill>
        </w:rPr>
      </w:pPr>
      <w:bookmarkStart w:id="35" w:name="_Toc28304"/>
      <w:bookmarkStart w:id="36" w:name="_Toc109675041"/>
      <w:r>
        <w:rPr>
          <w:rFonts w:hint="eastAsia" w:ascii="宋体" w:hAnsi="宋体" w:eastAsia="宋体" w:cs="宋体"/>
          <w:color w:val="000000" w:themeColor="text1"/>
          <w:sz w:val="24"/>
          <w14:textFill>
            <w14:solidFill>
              <w14:schemeClr w14:val="tx1"/>
            </w14:solidFill>
          </w14:textFill>
        </w:rPr>
        <w:t>（后附法定代表人身份证正反面原件扫描件）</w:t>
      </w:r>
      <w:bookmarkEnd w:id="35"/>
      <w:bookmarkEnd w:id="36"/>
    </w:p>
    <w:p w14:paraId="0F7F60DF">
      <w:pPr>
        <w:widowControl/>
        <w:spacing w:line="480" w:lineRule="auto"/>
        <w:jc w:val="center"/>
        <w:rPr>
          <w:rFonts w:ascii="宋体" w:hAnsi="宋体" w:eastAsia="宋体" w:cs="Times New Roman"/>
          <w:color w:val="000000" w:themeColor="text1"/>
          <w:kern w:val="0"/>
          <w:sz w:val="28"/>
          <w:szCs w:val="28"/>
          <w14:textFill>
            <w14:solidFill>
              <w14:schemeClr w14:val="tx1"/>
            </w14:solidFill>
          </w14:textFill>
        </w:rPr>
      </w:pPr>
      <w:r>
        <w:rPr>
          <w:rFonts w:ascii="宋体" w:hAnsi="宋体" w:eastAsia="宋体" w:cs="Times New Roman"/>
          <w:color w:val="000000" w:themeColor="text1"/>
          <w:kern w:val="0"/>
          <w:sz w:val="28"/>
          <w:szCs w:val="28"/>
          <w14:textFill>
            <w14:solidFill>
              <w14:schemeClr w14:val="tx1"/>
            </w14:solidFill>
          </w14:textFill>
        </w:rPr>
        <w:br w:type="page"/>
      </w:r>
      <w:r>
        <w:rPr>
          <w:rFonts w:hint="eastAsia" w:ascii="宋体" w:hAnsi="宋体" w:eastAsia="宋体" w:cs="Times New Roman"/>
          <w:b/>
          <w:bCs/>
          <w:color w:val="000000" w:themeColor="text1"/>
          <w:kern w:val="0"/>
          <w:sz w:val="32"/>
          <w:szCs w:val="32"/>
          <w14:textFill>
            <w14:solidFill>
              <w14:schemeClr w14:val="tx1"/>
            </w14:solidFill>
          </w14:textFill>
        </w:rPr>
        <w:t>二、授权委托书</w:t>
      </w:r>
    </w:p>
    <w:p w14:paraId="6680C72C">
      <w:pPr>
        <w:widowControl/>
        <w:spacing w:line="480" w:lineRule="auto"/>
        <w:ind w:firstLine="560" w:firstLineChars="200"/>
        <w:rPr>
          <w:rFonts w:ascii="Calibri" w:hAnsi="Calibri" w:eastAsia="宋体" w:cs="Times New Roman"/>
          <w:color w:val="000000" w:themeColor="text1"/>
          <w:kern w:val="0"/>
          <w:sz w:val="28"/>
          <w:szCs w:val="28"/>
          <w:u w:val="single"/>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本授权委托书声明：我</w:t>
      </w:r>
      <w:r>
        <w:rPr>
          <w:rFonts w:hint="eastAsia" w:ascii="宋体" w:hAnsi="宋体" w:eastAsia="宋体" w:cs="Times New Roman"/>
          <w:color w:val="000000" w:themeColor="text1"/>
          <w:kern w:val="0"/>
          <w:sz w:val="28"/>
          <w:szCs w:val="28"/>
          <w:u w:val="single"/>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（姓名）系</w:t>
      </w:r>
      <w:r>
        <w:rPr>
          <w:rFonts w:hint="eastAsia" w:ascii="宋体" w:hAnsi="宋体" w:eastAsia="宋体" w:cs="Times New Roman"/>
          <w:color w:val="000000" w:themeColor="text1"/>
          <w:kern w:val="0"/>
          <w:sz w:val="28"/>
          <w:szCs w:val="28"/>
          <w:u w:val="single"/>
          <w14:textFill>
            <w14:solidFill>
              <w14:schemeClr w14:val="tx1"/>
            </w14:solidFill>
          </w14:textFill>
        </w:rPr>
        <w:t>（投 标 人 名 称）</w:t>
      </w:r>
      <w:r>
        <w:rPr>
          <w:rFonts w:hint="eastAsia" w:ascii="宋体" w:hAnsi="宋体" w:eastAsia="宋体" w:cs="Times New Roman"/>
          <w:color w:val="000000" w:themeColor="text1"/>
          <w:kern w:val="0"/>
          <w:sz w:val="28"/>
          <w:szCs w:val="28"/>
          <w14:textFill>
            <w14:solidFill>
              <w14:schemeClr w14:val="tx1"/>
            </w14:solidFill>
          </w14:textFill>
        </w:rPr>
        <w:t>的法定代表人，现授权委托</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（单 位 名 称） </w:t>
      </w:r>
      <w:r>
        <w:rPr>
          <w:rFonts w:hint="eastAsia" w:ascii="宋体" w:hAnsi="宋体" w:eastAsia="宋体" w:cs="Times New Roman"/>
          <w:color w:val="000000" w:themeColor="text1"/>
          <w:kern w:val="0"/>
          <w:sz w:val="28"/>
          <w:szCs w:val="28"/>
          <w14:textFill>
            <w14:solidFill>
              <w14:schemeClr w14:val="tx1"/>
            </w14:solidFill>
          </w14:textFill>
        </w:rPr>
        <w:t>的</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（姓名） </w:t>
      </w:r>
      <w:r>
        <w:rPr>
          <w:rFonts w:hint="eastAsia" w:ascii="宋体" w:hAnsi="宋体" w:eastAsia="宋体" w:cs="Times New Roman"/>
          <w:color w:val="000000" w:themeColor="text1"/>
          <w:kern w:val="0"/>
          <w:sz w:val="28"/>
          <w:szCs w:val="28"/>
          <w14:textFill>
            <w14:solidFill>
              <w14:schemeClr w14:val="tx1"/>
            </w14:solidFill>
          </w14:textFill>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14:paraId="7E4521E4">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60C13BCC">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代理人无转委托权，特此委托。</w:t>
      </w:r>
    </w:p>
    <w:p w14:paraId="290773EC">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5A837192">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514BA771">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（盖章）</w:t>
      </w:r>
    </w:p>
    <w:p w14:paraId="7F56F0BD">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46B9E5F8">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（盖章）</w:t>
      </w:r>
    </w:p>
    <w:p w14:paraId="30979E83">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p>
    <w:p w14:paraId="23DCE9A5">
      <w:pPr>
        <w:widowControl/>
        <w:spacing w:line="480" w:lineRule="auto"/>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授权委托日期：年  月  日</w:t>
      </w:r>
    </w:p>
    <w:p w14:paraId="65BEB3E8">
      <w:pPr>
        <w:widowControl/>
        <w:jc w:val="center"/>
        <w:rPr>
          <w:rFonts w:ascii="宋体" w:hAnsi="宋体" w:eastAsia="宋体" w:cs="Times New Roman"/>
          <w:b/>
          <w:bCs/>
          <w:color w:val="000000" w:themeColor="text1"/>
          <w:kern w:val="0"/>
          <w:sz w:val="24"/>
          <w:szCs w:val="24"/>
          <w14:textFill>
            <w14:solidFill>
              <w14:schemeClr w14:val="tx1"/>
            </w14:solidFill>
          </w14:textFill>
        </w:rPr>
      </w:pPr>
      <w:bookmarkStart w:id="37" w:name="_Toc171073046"/>
      <w:bookmarkEnd w:id="37"/>
      <w:bookmarkStart w:id="38" w:name="_Toc171073211"/>
      <w:bookmarkEnd w:id="38"/>
      <w:bookmarkStart w:id="39" w:name="_Toc223432391"/>
      <w:bookmarkEnd w:id="39"/>
      <w:bookmarkStart w:id="40" w:name="_Toc169921411"/>
      <w:bookmarkEnd w:id="40"/>
    </w:p>
    <w:p w14:paraId="6BA2D105">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77C398D3">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13112689">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52B4A26D">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04EDBCC8">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423937E7">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0AE969EF">
      <w:pPr>
        <w:widowControl/>
        <w:jc w:val="center"/>
        <w:rPr>
          <w:rFonts w:ascii="宋体" w:hAnsi="宋体" w:eastAsia="宋体" w:cs="Times New Roman"/>
          <w:b/>
          <w:bCs/>
          <w:color w:val="000000" w:themeColor="text1"/>
          <w:kern w:val="0"/>
          <w:sz w:val="24"/>
          <w:szCs w:val="24"/>
          <w14:textFill>
            <w14:solidFill>
              <w14:schemeClr w14:val="tx1"/>
            </w14:solidFill>
          </w14:textFill>
        </w:rPr>
      </w:pPr>
    </w:p>
    <w:p w14:paraId="78FDC826">
      <w:pPr>
        <w:widowControl/>
        <w:jc w:val="center"/>
        <w:rPr>
          <w:rFonts w:ascii="Calibri" w:hAnsi="Calibri" w:eastAsia="宋体" w:cs="Times New Roman"/>
          <w:color w:val="000000" w:themeColor="text1"/>
          <w:kern w:val="0"/>
          <w:sz w:val="32"/>
          <w:szCs w:val="32"/>
          <w14:textFill>
            <w14:solidFill>
              <w14:schemeClr w14:val="tx1"/>
            </w14:solidFill>
          </w14:textFill>
        </w:rPr>
      </w:pPr>
      <w:r>
        <w:rPr>
          <w:rFonts w:hint="eastAsia" w:ascii="Calibri" w:hAnsi="Calibri" w:eastAsia="宋体" w:cs="Times New Roman"/>
          <w:color w:val="000000" w:themeColor="text1"/>
          <w:szCs w:val="21"/>
          <w14:textFill>
            <w14:solidFill>
              <w14:schemeClr w14:val="tx1"/>
            </w14:solidFill>
          </w14:textFill>
        </w:rPr>
        <w:t>附：法人和被授权人身份证复印件</w:t>
      </w:r>
      <w:r>
        <w:rPr>
          <w:rFonts w:ascii="Calibri" w:hAnsi="Calibri" w:eastAsia="宋体" w:cs="Times New Roman"/>
          <w:color w:val="000000" w:themeColor="text1"/>
          <w:szCs w:val="21"/>
          <w14:textFill>
            <w14:solidFill>
              <w14:schemeClr w14:val="tx1"/>
            </w14:solidFill>
          </w14:textFill>
        </w:rPr>
        <w:br w:type="page"/>
      </w:r>
      <w:bookmarkStart w:id="41" w:name="_Toc438305223"/>
      <w:r>
        <w:rPr>
          <w:rFonts w:hint="eastAsia" w:ascii="宋体" w:hAnsi="宋体" w:eastAsia="宋体" w:cs="Times New Roman"/>
          <w:b/>
          <w:bCs/>
          <w:color w:val="000000" w:themeColor="text1"/>
          <w:kern w:val="0"/>
          <w:sz w:val="32"/>
          <w:szCs w:val="32"/>
          <w14:textFill>
            <w14:solidFill>
              <w14:schemeClr w14:val="tx1"/>
            </w14:solidFill>
          </w14:textFill>
        </w:rPr>
        <w:t>三、磋 商 函</w:t>
      </w:r>
    </w:p>
    <w:p w14:paraId="61CD5291">
      <w:pPr>
        <w:widowControl/>
        <w:spacing w:line="480" w:lineRule="auto"/>
        <w:jc w:val="left"/>
        <w:rPr>
          <w:rFonts w:ascii="Calibri" w:hAnsi="Calibri" w:eastAsia="宋体" w:cs="Times New Roman"/>
          <w:color w:val="000000" w:themeColor="text1"/>
          <w:kern w:val="0"/>
          <w:sz w:val="28"/>
          <w:szCs w:val="28"/>
          <w14:textFill>
            <w14:solidFill>
              <w14:schemeClr w14:val="tx1"/>
            </w14:solidFill>
          </w14:textFill>
        </w:rPr>
      </w:pPr>
      <w:bookmarkStart w:id="42" w:name="OLE_LINK11"/>
      <w:bookmarkEnd w:id="42"/>
      <w:bookmarkStart w:id="43" w:name="OLE_LINK7"/>
      <w:r>
        <w:rPr>
          <w:rFonts w:hint="eastAsia" w:ascii="宋体" w:hAnsi="宋体" w:eastAsia="宋体" w:cs="Times New Roman"/>
          <w:color w:val="000000" w:themeColor="text1"/>
          <w:spacing w:val="46"/>
          <w:kern w:val="0"/>
          <w:sz w:val="28"/>
          <w:szCs w:val="28"/>
          <w14:textFill>
            <w14:solidFill>
              <w14:schemeClr w14:val="tx1"/>
            </w14:solidFill>
          </w14:textFill>
        </w:rPr>
        <w:t>致</w:t>
      </w:r>
      <w:bookmarkEnd w:id="43"/>
      <w:r>
        <w:rPr>
          <w:rFonts w:hint="eastAsia" w:ascii="宋体" w:hAnsi="宋体" w:eastAsia="宋体" w:cs="Times New Roman"/>
          <w:color w:val="000000" w:themeColor="text1"/>
          <w:spacing w:val="46"/>
          <w:kern w:val="0"/>
          <w:sz w:val="28"/>
          <w:szCs w:val="28"/>
          <w:u w:val="single"/>
          <w14:textFill>
            <w14:solidFill>
              <w14:schemeClr w14:val="tx1"/>
            </w14:solidFill>
          </w14:textFill>
        </w:rPr>
        <w:t xml:space="preserve"> （采购人） </w:t>
      </w:r>
      <w:r>
        <w:rPr>
          <w:rFonts w:hint="eastAsia" w:ascii="宋体" w:hAnsi="宋体" w:eastAsia="宋体" w:cs="Times New Roman"/>
          <w:color w:val="000000" w:themeColor="text1"/>
          <w:spacing w:val="46"/>
          <w:kern w:val="0"/>
          <w:sz w:val="28"/>
          <w:szCs w:val="28"/>
          <w14:textFill>
            <w14:solidFill>
              <w14:schemeClr w14:val="tx1"/>
            </w14:solidFill>
          </w14:textFill>
        </w:rPr>
        <w:t>：</w:t>
      </w:r>
    </w:p>
    <w:p w14:paraId="488446B2">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我方已仔细研究了</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（项目名称）竞争性磋商文件的全部内容，愿意以人民币（大写）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（小写：</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宋体" w:hAnsi="宋体" w:eastAsia="宋体" w:cs="Times New Roman"/>
          <w:color w:val="000000" w:themeColor="text1"/>
          <w:kern w:val="0"/>
          <w:sz w:val="28"/>
          <w:szCs w:val="28"/>
          <w14:textFill>
            <w14:solidFill>
              <w14:schemeClr w14:val="tx1"/>
            </w14:solidFill>
          </w14:textFill>
        </w:rPr>
        <w:t>元）的投标总报价， 按合同约定完成本项目服务内容，</w:t>
      </w:r>
    </w:p>
    <w:p w14:paraId="287C5ED9">
      <w:pPr>
        <w:widowControl/>
        <w:spacing w:line="480" w:lineRule="auto"/>
        <w:ind w:firstLine="560" w:firstLineChars="200"/>
        <w:jc w:val="left"/>
        <w:rPr>
          <w:rFonts w:ascii="Calibri" w:hAnsi="Calibri" w:eastAsia="宋体" w:cs="Times New Roman"/>
          <w:color w:val="000000" w:themeColor="text1"/>
          <w:kern w:val="0"/>
          <w:sz w:val="28"/>
          <w:szCs w:val="28"/>
          <w14:textFill>
            <w14:solidFill>
              <w14:schemeClr w14:val="tx1"/>
            </w14:solidFill>
          </w14:textFill>
        </w:rPr>
      </w:pPr>
      <w:r>
        <w:rPr>
          <w:rFonts w:ascii="Calibri" w:hAnsi="Calibri" w:eastAsia="宋体" w:cs="Times New Roman"/>
          <w:color w:val="000000" w:themeColor="text1"/>
          <w:kern w:val="0"/>
          <w:sz w:val="28"/>
          <w:szCs w:val="28"/>
          <w14:textFill>
            <w14:solidFill>
              <w14:schemeClr w14:val="tx1"/>
            </w14:solidFill>
          </w14:textFill>
        </w:rPr>
        <w:t>1</w:t>
      </w:r>
      <w:r>
        <w:rPr>
          <w:rFonts w:hint="eastAsia" w:ascii="Calibri" w:hAnsi="Calibri" w:eastAsia="宋体" w:cs="Times New Roman"/>
          <w:color w:val="000000" w:themeColor="text1"/>
          <w:kern w:val="0"/>
          <w:sz w:val="28"/>
          <w:szCs w:val="28"/>
          <w14:textFill>
            <w14:solidFill>
              <w14:schemeClr w14:val="tx1"/>
            </w14:solidFill>
          </w14:textFill>
        </w:rPr>
        <w:t>、</w:t>
      </w:r>
      <w:r>
        <w:rPr>
          <w:rFonts w:hint="eastAsia" w:ascii="宋体" w:hAnsi="宋体" w:eastAsia="宋体" w:cs="Times New Roman"/>
          <w:color w:val="000000" w:themeColor="text1"/>
          <w:kern w:val="0"/>
          <w:sz w:val="28"/>
          <w:szCs w:val="28"/>
          <w14:textFill>
            <w14:solidFill>
              <w14:schemeClr w14:val="tx1"/>
            </w14:solidFill>
          </w14:textFill>
        </w:rPr>
        <w:t>我方已详细审阅全部竞争性磋商文件，包括修改文件（如果有的话），及有关附件，我方完全知道必须放弃提出含糊不清或误解的权力。</w:t>
      </w:r>
    </w:p>
    <w:p w14:paraId="7EB3CA30">
      <w:pPr>
        <w:widowControl/>
        <w:spacing w:line="480" w:lineRule="auto"/>
        <w:ind w:firstLine="560" w:firstLineChars="200"/>
        <w:jc w:val="left"/>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2、</w:t>
      </w:r>
      <w:r>
        <w:rPr>
          <w:rFonts w:hint="eastAsia" w:ascii="宋体" w:hAnsi="宋体" w:eastAsia="宋体" w:cs="Times New Roman"/>
          <w:color w:val="000000" w:themeColor="text1"/>
          <w:kern w:val="0"/>
          <w:sz w:val="28"/>
          <w:szCs w:val="28"/>
          <w14:textFill>
            <w14:solidFill>
              <w14:schemeClr w14:val="tx1"/>
            </w14:solidFill>
          </w14:textFill>
        </w:rPr>
        <w:t>一旦我方成交，我们将按照</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中规定的各项要求和我们的响应文件中的表述和承诺，按期、按质、按量完成成交、安装、验收、培训等义务。</w:t>
      </w:r>
    </w:p>
    <w:p w14:paraId="626C77F2">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5、</w:t>
      </w:r>
      <w:r>
        <w:rPr>
          <w:rFonts w:hint="eastAsia" w:ascii="宋体" w:hAnsi="宋体" w:eastAsia="宋体" w:cs="Times New Roman"/>
          <w:color w:val="000000" w:themeColor="text1"/>
          <w:kern w:val="0"/>
          <w:sz w:val="28"/>
          <w:szCs w:val="28"/>
          <w14:textFill>
            <w14:solidFill>
              <w14:schemeClr w14:val="tx1"/>
            </w14:solidFill>
          </w14:textFill>
        </w:rPr>
        <w:t>我方同意所递交的响应文件在</w:t>
      </w:r>
      <w:r>
        <w:rPr>
          <w:rFonts w:hint="eastAsia" w:ascii="宋体" w:hAnsi="宋体" w:eastAsia="宋体" w:cs="宋体"/>
          <w:color w:val="000000" w:themeColor="text1"/>
          <w:sz w:val="28"/>
          <w:szCs w:val="28"/>
          <w14:textFill>
            <w14:solidFill>
              <w14:schemeClr w14:val="tx1"/>
            </w14:solidFill>
          </w14:textFill>
        </w:rPr>
        <w:t>竞争性磋商文件</w:t>
      </w:r>
      <w:r>
        <w:rPr>
          <w:rFonts w:hint="eastAsia" w:ascii="宋体" w:hAnsi="宋体" w:eastAsia="宋体" w:cs="Times New Roman"/>
          <w:color w:val="000000" w:themeColor="text1"/>
          <w:kern w:val="0"/>
          <w:sz w:val="28"/>
          <w:szCs w:val="28"/>
          <w14:textFill>
            <w14:solidFill>
              <w14:schemeClr w14:val="tx1"/>
            </w14:solidFill>
          </w14:textFill>
        </w:rPr>
        <w:t>规定的磋商有效期</w:t>
      </w:r>
      <w:r>
        <w:rPr>
          <w:rFonts w:hint="eastAsia" w:ascii="宋体" w:hAnsi="宋体" w:eastAsia="宋体" w:cs="Times New Roman"/>
          <w:color w:val="000000" w:themeColor="text1"/>
          <w:kern w:val="0"/>
          <w:sz w:val="28"/>
          <w:szCs w:val="28"/>
          <w:u w:val="single"/>
          <w14:textFill>
            <w14:solidFill>
              <w14:schemeClr w14:val="tx1"/>
            </w14:solidFill>
          </w14:textFill>
        </w:rPr>
        <w:t xml:space="preserve">         </w:t>
      </w:r>
      <w:r>
        <w:rPr>
          <w:rFonts w:hint="eastAsia" w:ascii="Calibri" w:hAnsi="宋体" w:eastAsia="宋体" w:cs="Times New Roman"/>
          <w:color w:val="000000" w:themeColor="text1"/>
          <w:spacing w:val="6"/>
          <w:sz w:val="28"/>
          <w:szCs w:val="28"/>
          <w14:textFill>
            <w14:solidFill>
              <w14:schemeClr w14:val="tx1"/>
            </w14:solidFill>
          </w14:textFill>
        </w:rPr>
        <w:t>日历天</w:t>
      </w:r>
      <w:r>
        <w:rPr>
          <w:rFonts w:hint="eastAsia" w:ascii="宋体" w:hAnsi="宋体" w:eastAsia="宋体" w:cs="Times New Roman"/>
          <w:color w:val="000000" w:themeColor="text1"/>
          <w:kern w:val="0"/>
          <w:sz w:val="28"/>
          <w:szCs w:val="28"/>
          <w14:textFill>
            <w14:solidFill>
              <w14:schemeClr w14:val="tx1"/>
            </w14:solidFill>
          </w14:textFill>
        </w:rPr>
        <w:t>内有效，在此期间我方有可能成交，我方将受此约束。</w:t>
      </w:r>
    </w:p>
    <w:p w14:paraId="587B4291">
      <w:pPr>
        <w:widowControl/>
        <w:spacing w:line="480" w:lineRule="auto"/>
        <w:ind w:firstLine="560" w:firstLineChars="200"/>
        <w:jc w:val="left"/>
        <w:rPr>
          <w:rFonts w:ascii="宋体" w:hAnsi="宋体"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6、</w:t>
      </w:r>
      <w:r>
        <w:rPr>
          <w:rFonts w:hint="eastAsia" w:ascii="宋体" w:hAnsi="宋体" w:eastAsia="宋体" w:cs="Times New Roman"/>
          <w:color w:val="000000" w:themeColor="text1"/>
          <w:kern w:val="0"/>
          <w:sz w:val="28"/>
          <w:szCs w:val="28"/>
          <w14:textFill>
            <w14:solidFill>
              <w14:schemeClr w14:val="tx1"/>
            </w14:solidFill>
          </w14:textFill>
        </w:rPr>
        <w:t>除非另外达成协议并生效，贵方的成交通知书和本响应文件将构成约束我们双方的合同。</w:t>
      </w:r>
    </w:p>
    <w:p w14:paraId="413E7252">
      <w:pPr>
        <w:widowControl/>
        <w:spacing w:line="480" w:lineRule="auto"/>
        <w:jc w:val="lef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磋商供应商：（盖章） 法定代表人：（盖章）</w:t>
      </w:r>
    </w:p>
    <w:p w14:paraId="4C6C1A07">
      <w:pPr>
        <w:widowControl/>
        <w:spacing w:line="480" w:lineRule="auto"/>
        <w:jc w:val="righ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spacing w:val="46"/>
          <w:kern w:val="0"/>
          <w:sz w:val="28"/>
          <w:szCs w:val="28"/>
          <w14:textFill>
            <w14:solidFill>
              <w14:schemeClr w14:val="tx1"/>
            </w14:solidFill>
          </w14:textFill>
        </w:rPr>
        <w:t xml:space="preserve">日 期： 年 月 日 </w:t>
      </w:r>
    </w:p>
    <w:p w14:paraId="17155411">
      <w:pPr>
        <w:spacing w:line="360" w:lineRule="auto"/>
        <w:jc w:val="center"/>
        <w:outlineLvl w:val="1"/>
        <w:rPr>
          <w:rFonts w:ascii="Calibri" w:hAnsi="Calibri" w:eastAsia="宋体" w:cs="Times New Roman"/>
          <w:color w:val="000000" w:themeColor="text1"/>
          <w:kern w:val="0"/>
          <w:sz w:val="28"/>
          <w:szCs w:val="28"/>
          <w14:textFill>
            <w14:solidFill>
              <w14:schemeClr w14:val="tx1"/>
            </w14:solidFill>
          </w14:textFill>
        </w:rPr>
      </w:pPr>
      <w:r>
        <w:rPr>
          <w:rFonts w:ascii="宋体" w:hAnsi="宋体" w:eastAsia="宋体" w:cs="Times New Roman"/>
          <w:bCs/>
          <w:color w:val="000000" w:themeColor="text1"/>
          <w:szCs w:val="21"/>
          <w14:textFill>
            <w14:solidFill>
              <w14:schemeClr w14:val="tx1"/>
            </w14:solidFill>
          </w14:textFill>
        </w:rPr>
        <w:br w:type="page"/>
      </w:r>
      <w:bookmarkStart w:id="44" w:name="_Toc9577"/>
      <w:bookmarkStart w:id="45" w:name="_Toc109675042"/>
      <w:r>
        <w:rPr>
          <w:rFonts w:hint="eastAsia" w:ascii="宋体" w:hAnsi="宋体" w:eastAsia="宋体" w:cs="Times New Roman"/>
          <w:b/>
          <w:bCs/>
          <w:color w:val="000000" w:themeColor="text1"/>
          <w:kern w:val="0"/>
          <w:sz w:val="32"/>
          <w:szCs w:val="32"/>
          <w14:textFill>
            <w14:solidFill>
              <w14:schemeClr w14:val="tx1"/>
            </w14:solidFill>
          </w14:textFill>
        </w:rPr>
        <w:t>四、</w:t>
      </w:r>
      <w:bookmarkEnd w:id="41"/>
      <w:r>
        <w:rPr>
          <w:rFonts w:hint="eastAsia" w:ascii="宋体" w:hAnsi="宋体" w:eastAsia="宋体" w:cs="Times New Roman"/>
          <w:b/>
          <w:bCs/>
          <w:color w:val="000000" w:themeColor="text1"/>
          <w:kern w:val="0"/>
          <w:sz w:val="32"/>
          <w:szCs w:val="32"/>
          <w14:textFill>
            <w14:solidFill>
              <w14:schemeClr w14:val="tx1"/>
            </w14:solidFill>
          </w14:textFill>
        </w:rPr>
        <w:t>磋商函附表</w:t>
      </w:r>
      <w:bookmarkEnd w:id="44"/>
      <w:bookmarkEnd w:id="45"/>
    </w:p>
    <w:tbl>
      <w:tblPr>
        <w:tblStyle w:val="12"/>
        <w:tblpPr w:leftFromText="180" w:rightFromText="180" w:vertAnchor="text" w:horzAnchor="page" w:tblpXSpec="center" w:tblpY="294"/>
        <w:tblOverlap w:val="never"/>
        <w:tblW w:w="8789" w:type="dxa"/>
        <w:jc w:val="center"/>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Layout w:type="fixed"/>
        <w:tblCellMar>
          <w:top w:w="0" w:type="dxa"/>
          <w:left w:w="108" w:type="dxa"/>
          <w:bottom w:w="0" w:type="dxa"/>
          <w:right w:w="108" w:type="dxa"/>
        </w:tblCellMar>
      </w:tblPr>
      <w:tblGrid>
        <w:gridCol w:w="1985"/>
        <w:gridCol w:w="708"/>
        <w:gridCol w:w="1939"/>
        <w:gridCol w:w="1465"/>
        <w:gridCol w:w="2692"/>
      </w:tblGrid>
      <w:tr w14:paraId="105BD6AB">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605"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7F566258">
            <w:pPr>
              <w:spacing w:line="360" w:lineRule="auto"/>
              <w:jc w:val="center"/>
              <w:rPr>
                <w:rFonts w:ascii="宋体" w:hAnsi="宋体" w:eastAsia="宋体" w:cs="宋体"/>
                <w:sz w:val="24"/>
                <w:szCs w:val="24"/>
              </w:rPr>
            </w:pPr>
            <w:bookmarkStart w:id="46" w:name="_Toc25552"/>
            <w:r>
              <w:rPr>
                <w:rFonts w:hint="eastAsia" w:ascii="宋体" w:hAnsi="宋体" w:eastAsia="宋体" w:cs="宋体"/>
                <w:sz w:val="24"/>
                <w:szCs w:val="24"/>
              </w:rPr>
              <w:t>项目名称</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53FC9CD5">
            <w:pPr>
              <w:spacing w:line="360" w:lineRule="auto"/>
              <w:jc w:val="center"/>
              <w:rPr>
                <w:rFonts w:ascii="宋体" w:hAnsi="宋体" w:eastAsia="宋体" w:cs="宋体"/>
                <w:sz w:val="24"/>
                <w:szCs w:val="24"/>
              </w:rPr>
            </w:pPr>
          </w:p>
        </w:tc>
      </w:tr>
      <w:tr w14:paraId="45565671">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1E376363">
            <w:pPr>
              <w:spacing w:line="360" w:lineRule="auto"/>
              <w:jc w:val="center"/>
              <w:rPr>
                <w:rFonts w:ascii="宋体" w:hAnsi="宋体" w:eastAsia="宋体" w:cs="宋体"/>
                <w:sz w:val="24"/>
                <w:szCs w:val="24"/>
              </w:rPr>
            </w:pPr>
            <w:r>
              <w:rPr>
                <w:rFonts w:hint="eastAsia" w:ascii="宋体" w:hAnsi="宋体" w:eastAsia="宋体" w:cs="宋体"/>
                <w:sz w:val="24"/>
                <w:szCs w:val="24"/>
              </w:rPr>
              <w:t>项目编号</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6968CB59">
            <w:pPr>
              <w:spacing w:line="440" w:lineRule="exact"/>
              <w:ind w:right="640"/>
              <w:jc w:val="center"/>
              <w:rPr>
                <w:rFonts w:ascii="宋体" w:hAnsi="宋体" w:eastAsia="宋体" w:cs="宋体"/>
                <w:sz w:val="24"/>
                <w:szCs w:val="24"/>
              </w:rPr>
            </w:pPr>
          </w:p>
        </w:tc>
      </w:tr>
      <w:tr w14:paraId="0F2887A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4CBEF91F">
            <w:pPr>
              <w:spacing w:line="360" w:lineRule="auto"/>
              <w:jc w:val="center"/>
              <w:rPr>
                <w:rFonts w:ascii="宋体" w:hAnsi="宋体" w:eastAsia="宋体" w:cs="宋体"/>
                <w:sz w:val="24"/>
                <w:szCs w:val="24"/>
              </w:rPr>
            </w:pPr>
            <w:r>
              <w:rPr>
                <w:rFonts w:hint="eastAsia" w:ascii="宋体" w:hAnsi="宋体" w:eastAsia="宋体" w:cs="宋体"/>
                <w:sz w:val="24"/>
                <w:szCs w:val="24"/>
              </w:rPr>
              <w:t>投标供应商</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7208CCED">
            <w:pPr>
              <w:spacing w:line="440" w:lineRule="exact"/>
              <w:ind w:right="640"/>
              <w:jc w:val="center"/>
              <w:rPr>
                <w:rFonts w:ascii="宋体" w:hAnsi="宋体" w:eastAsia="宋体" w:cs="宋体"/>
                <w:sz w:val="24"/>
                <w:szCs w:val="24"/>
              </w:rPr>
            </w:pPr>
          </w:p>
        </w:tc>
      </w:tr>
      <w:tr w14:paraId="4A27DDA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cantSplit/>
          <w:trHeight w:val="955" w:hRule="atLeast"/>
          <w:jc w:val="center"/>
        </w:trPr>
        <w:tc>
          <w:tcPr>
            <w:tcW w:w="1985" w:type="dxa"/>
            <w:tcBorders>
              <w:top w:val="single" w:color="auto" w:sz="6" w:space="0"/>
              <w:left w:val="single" w:color="auto" w:sz="6" w:space="0"/>
              <w:right w:val="single" w:color="auto" w:sz="6" w:space="0"/>
            </w:tcBorders>
            <w:vAlign w:val="center"/>
          </w:tcPr>
          <w:p w14:paraId="6CA0AA90">
            <w:pPr>
              <w:spacing w:line="360" w:lineRule="auto"/>
              <w:jc w:val="center"/>
              <w:rPr>
                <w:rFonts w:ascii="宋体" w:hAnsi="宋体" w:eastAsia="宋体" w:cs="宋体"/>
                <w:sz w:val="24"/>
                <w:szCs w:val="24"/>
              </w:rPr>
            </w:pPr>
            <w:r>
              <w:rPr>
                <w:rFonts w:hint="eastAsia" w:ascii="宋体" w:hAnsi="宋体" w:eastAsia="宋体" w:cs="宋体"/>
                <w:sz w:val="24"/>
                <w:szCs w:val="24"/>
              </w:rPr>
              <w:t>投标总报价</w:t>
            </w:r>
          </w:p>
        </w:tc>
        <w:tc>
          <w:tcPr>
            <w:tcW w:w="6804" w:type="dxa"/>
            <w:gridSpan w:val="4"/>
            <w:tcBorders>
              <w:top w:val="single" w:color="auto" w:sz="6" w:space="0"/>
              <w:left w:val="single" w:color="auto" w:sz="6" w:space="0"/>
              <w:right w:val="single" w:color="auto" w:sz="6" w:space="0"/>
            </w:tcBorders>
            <w:vAlign w:val="center"/>
          </w:tcPr>
          <w:p w14:paraId="27734A89">
            <w:pPr>
              <w:spacing w:line="300" w:lineRule="exact"/>
              <w:rPr>
                <w:rFonts w:ascii="宋体" w:hAnsi="宋体" w:eastAsia="宋体" w:cs="宋体"/>
                <w:sz w:val="24"/>
                <w:szCs w:val="24"/>
              </w:rPr>
            </w:pPr>
            <w:r>
              <w:rPr>
                <w:rFonts w:hint="eastAsia" w:ascii="宋体" w:hAnsi="宋体" w:eastAsia="宋体" w:cs="宋体"/>
                <w:sz w:val="24"/>
                <w:szCs w:val="24"/>
              </w:rPr>
              <w:t>大写：</w:t>
            </w:r>
          </w:p>
          <w:p w14:paraId="742D6237">
            <w:pPr>
              <w:spacing w:line="300" w:lineRule="exact"/>
              <w:rPr>
                <w:rFonts w:ascii="宋体" w:hAnsi="宋体" w:eastAsia="宋体" w:cs="宋体"/>
                <w:sz w:val="24"/>
                <w:szCs w:val="24"/>
              </w:rPr>
            </w:pPr>
          </w:p>
          <w:p w14:paraId="7C36E0D7">
            <w:pPr>
              <w:spacing w:line="300" w:lineRule="exact"/>
              <w:rPr>
                <w:rFonts w:ascii="宋体" w:hAnsi="宋体" w:eastAsia="宋体" w:cs="宋体"/>
                <w:sz w:val="24"/>
                <w:szCs w:val="24"/>
              </w:rPr>
            </w:pPr>
            <w:r>
              <w:rPr>
                <w:rFonts w:hint="eastAsia" w:ascii="宋体" w:hAnsi="宋体" w:eastAsia="宋体" w:cs="宋体"/>
                <w:sz w:val="24"/>
                <w:szCs w:val="24"/>
              </w:rPr>
              <w:t>小写：    元</w:t>
            </w:r>
          </w:p>
        </w:tc>
      </w:tr>
      <w:tr w14:paraId="6C4D2537">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29A5E4B4">
            <w:pPr>
              <w:spacing w:line="360" w:lineRule="auto"/>
              <w:jc w:val="center"/>
              <w:rPr>
                <w:rFonts w:ascii="宋体" w:hAnsi="宋体" w:eastAsia="宋体" w:cs="宋体"/>
                <w:sz w:val="24"/>
                <w:szCs w:val="24"/>
              </w:rPr>
            </w:pPr>
            <w:r>
              <w:rPr>
                <w:rFonts w:hint="eastAsia" w:ascii="宋体" w:hAnsi="宋体" w:eastAsia="宋体" w:cs="宋体"/>
                <w:sz w:val="24"/>
                <w:szCs w:val="24"/>
              </w:rPr>
              <w:t>服务期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6828F213">
            <w:pPr>
              <w:spacing w:line="440" w:lineRule="exact"/>
              <w:ind w:right="640"/>
              <w:rPr>
                <w:rFonts w:ascii="宋体" w:hAnsi="宋体" w:eastAsia="宋体" w:cs="宋体"/>
                <w:sz w:val="24"/>
                <w:szCs w:val="24"/>
              </w:rPr>
            </w:pPr>
          </w:p>
        </w:tc>
      </w:tr>
      <w:tr w14:paraId="67D556C3">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4E342E1E">
            <w:pPr>
              <w:spacing w:line="360" w:lineRule="auto"/>
              <w:jc w:val="center"/>
              <w:rPr>
                <w:rFonts w:ascii="宋体" w:hAnsi="宋体" w:eastAsia="宋体" w:cs="宋体"/>
                <w:sz w:val="24"/>
                <w:szCs w:val="24"/>
              </w:rPr>
            </w:pPr>
            <w:r>
              <w:rPr>
                <w:rFonts w:hint="eastAsia" w:ascii="宋体" w:hAnsi="宋体" w:eastAsia="宋体" w:cs="宋体"/>
                <w:sz w:val="24"/>
                <w:szCs w:val="24"/>
              </w:rPr>
              <w:t>质量</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34C0EEFA">
            <w:pPr>
              <w:spacing w:line="440" w:lineRule="exact"/>
              <w:ind w:right="640"/>
              <w:rPr>
                <w:rFonts w:ascii="宋体" w:hAnsi="宋体" w:eastAsia="宋体" w:cs="宋体"/>
                <w:sz w:val="24"/>
                <w:szCs w:val="24"/>
              </w:rPr>
            </w:pPr>
          </w:p>
        </w:tc>
      </w:tr>
      <w:tr w14:paraId="720037B2">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414B83C0">
            <w:pPr>
              <w:spacing w:line="360" w:lineRule="auto"/>
              <w:jc w:val="center"/>
              <w:rPr>
                <w:rFonts w:ascii="宋体" w:hAnsi="宋体" w:eastAsia="宋体" w:cs="宋体"/>
                <w:sz w:val="24"/>
                <w:szCs w:val="24"/>
              </w:rPr>
            </w:pPr>
            <w:r>
              <w:rPr>
                <w:rFonts w:hint="eastAsia" w:ascii="宋体" w:hAnsi="宋体" w:eastAsia="宋体" w:cs="宋体"/>
                <w:sz w:val="24"/>
                <w:szCs w:val="24"/>
              </w:rPr>
              <w:t>投标有效期</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2625A5CB">
            <w:pPr>
              <w:spacing w:line="440" w:lineRule="exact"/>
              <w:ind w:right="640"/>
              <w:rPr>
                <w:rFonts w:ascii="宋体" w:hAnsi="宋体" w:eastAsia="宋体" w:cs="宋体"/>
                <w:sz w:val="24"/>
                <w:szCs w:val="24"/>
              </w:rPr>
            </w:pPr>
          </w:p>
        </w:tc>
      </w:tr>
      <w:tr w14:paraId="438FAD84">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050"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7D4E6275">
            <w:pPr>
              <w:spacing w:line="500" w:lineRule="exact"/>
              <w:jc w:val="center"/>
              <w:rPr>
                <w:rFonts w:ascii="宋体" w:hAnsi="宋体" w:eastAsia="宋体" w:cs="宋体"/>
                <w:sz w:val="24"/>
                <w:szCs w:val="24"/>
              </w:rPr>
            </w:pPr>
            <w:r>
              <w:rPr>
                <w:rFonts w:hint="eastAsia" w:ascii="宋体" w:hAnsi="宋体" w:eastAsia="宋体" w:cs="宋体"/>
                <w:sz w:val="24"/>
                <w:szCs w:val="24"/>
              </w:rPr>
              <w:t>项目负责人</w:t>
            </w:r>
          </w:p>
        </w:tc>
        <w:tc>
          <w:tcPr>
            <w:tcW w:w="708" w:type="dxa"/>
            <w:tcBorders>
              <w:top w:val="single" w:color="auto" w:sz="6" w:space="0"/>
              <w:left w:val="single" w:color="auto" w:sz="6" w:space="0"/>
              <w:bottom w:val="single" w:color="auto" w:sz="6" w:space="0"/>
              <w:right w:val="single" w:color="auto" w:sz="6" w:space="0"/>
            </w:tcBorders>
            <w:vAlign w:val="center"/>
          </w:tcPr>
          <w:p w14:paraId="33BDFA4E">
            <w:pPr>
              <w:spacing w:line="500" w:lineRule="exact"/>
              <w:jc w:val="center"/>
              <w:rPr>
                <w:rFonts w:ascii="宋体" w:hAnsi="宋体" w:eastAsia="宋体" w:cs="宋体"/>
                <w:sz w:val="24"/>
                <w:szCs w:val="24"/>
              </w:rPr>
            </w:pPr>
            <w:r>
              <w:rPr>
                <w:rFonts w:hint="eastAsia" w:ascii="宋体" w:hAnsi="宋体" w:eastAsia="宋体" w:cs="宋体"/>
                <w:sz w:val="24"/>
                <w:szCs w:val="24"/>
              </w:rPr>
              <w:t>姓名</w:t>
            </w:r>
          </w:p>
        </w:tc>
        <w:tc>
          <w:tcPr>
            <w:tcW w:w="1939" w:type="dxa"/>
            <w:tcBorders>
              <w:top w:val="single" w:color="auto" w:sz="6" w:space="0"/>
              <w:left w:val="single" w:color="auto" w:sz="6" w:space="0"/>
              <w:bottom w:val="single" w:color="auto" w:sz="6" w:space="0"/>
              <w:right w:val="single" w:color="auto" w:sz="6" w:space="0"/>
            </w:tcBorders>
            <w:vAlign w:val="center"/>
          </w:tcPr>
          <w:p w14:paraId="194A9AD7">
            <w:pPr>
              <w:spacing w:line="500" w:lineRule="exact"/>
              <w:jc w:val="center"/>
              <w:rPr>
                <w:rFonts w:ascii="宋体" w:hAnsi="宋体" w:eastAsia="宋体" w:cs="宋体"/>
                <w:sz w:val="24"/>
                <w:szCs w:val="24"/>
              </w:rPr>
            </w:pPr>
          </w:p>
        </w:tc>
        <w:tc>
          <w:tcPr>
            <w:tcW w:w="1465" w:type="dxa"/>
            <w:tcBorders>
              <w:top w:val="single" w:color="auto" w:sz="6" w:space="0"/>
              <w:left w:val="single" w:color="auto" w:sz="6" w:space="0"/>
              <w:bottom w:val="single" w:color="auto" w:sz="6" w:space="0"/>
              <w:right w:val="single" w:color="auto" w:sz="6" w:space="0"/>
            </w:tcBorders>
            <w:vAlign w:val="center"/>
          </w:tcPr>
          <w:p w14:paraId="04239FB9">
            <w:pPr>
              <w:spacing w:line="500" w:lineRule="exact"/>
              <w:jc w:val="center"/>
              <w:rPr>
                <w:rFonts w:ascii="宋体" w:hAnsi="宋体" w:eastAsia="宋体" w:cs="宋体"/>
                <w:sz w:val="24"/>
                <w:szCs w:val="24"/>
              </w:rPr>
            </w:pPr>
            <w:r>
              <w:rPr>
                <w:rFonts w:hint="eastAsia" w:ascii="宋体" w:hAnsi="宋体" w:eastAsia="宋体" w:cs="宋体"/>
                <w:sz w:val="24"/>
                <w:szCs w:val="24"/>
              </w:rPr>
              <w:t>联系电话</w:t>
            </w:r>
          </w:p>
        </w:tc>
        <w:tc>
          <w:tcPr>
            <w:tcW w:w="2692" w:type="dxa"/>
            <w:tcBorders>
              <w:top w:val="single" w:color="auto" w:sz="6" w:space="0"/>
              <w:left w:val="single" w:color="auto" w:sz="6" w:space="0"/>
              <w:bottom w:val="single" w:color="auto" w:sz="6" w:space="0"/>
              <w:right w:val="single" w:color="auto" w:sz="6" w:space="0"/>
            </w:tcBorders>
            <w:vAlign w:val="center"/>
          </w:tcPr>
          <w:p w14:paraId="7A47FE10">
            <w:pPr>
              <w:spacing w:line="500" w:lineRule="exact"/>
              <w:jc w:val="center"/>
              <w:rPr>
                <w:rFonts w:ascii="宋体" w:hAnsi="宋体" w:eastAsia="宋体" w:cs="宋体"/>
                <w:sz w:val="24"/>
                <w:szCs w:val="24"/>
              </w:rPr>
            </w:pPr>
          </w:p>
        </w:tc>
      </w:tr>
      <w:tr w14:paraId="0E61EC2F">
        <w:tblPrEx>
          <w:tblBorders>
            <w:top w:val="single" w:color="auto" w:sz="18" w:space="0"/>
            <w:left w:val="single" w:color="auto" w:sz="18" w:space="0"/>
            <w:bottom w:val="single" w:color="auto" w:sz="18" w:space="0"/>
            <w:right w:val="single" w:color="auto" w:sz="18" w:space="0"/>
            <w:insideH w:val="none" w:color="auto" w:sz="0" w:space="0"/>
            <w:insideV w:val="none" w:color="auto" w:sz="0" w:space="0"/>
          </w:tblBorders>
          <w:tblCellMar>
            <w:top w:w="0" w:type="dxa"/>
            <w:left w:w="108" w:type="dxa"/>
            <w:bottom w:w="0" w:type="dxa"/>
            <w:right w:w="108" w:type="dxa"/>
          </w:tblCellMar>
        </w:tblPrEx>
        <w:trPr>
          <w:trHeight w:val="1458" w:hRule="atLeast"/>
          <w:jc w:val="center"/>
        </w:trPr>
        <w:tc>
          <w:tcPr>
            <w:tcW w:w="1985" w:type="dxa"/>
            <w:tcBorders>
              <w:top w:val="single" w:color="auto" w:sz="6" w:space="0"/>
              <w:left w:val="single" w:color="auto" w:sz="6" w:space="0"/>
              <w:bottom w:val="single" w:color="auto" w:sz="6" w:space="0"/>
              <w:right w:val="single" w:color="auto" w:sz="6" w:space="0"/>
            </w:tcBorders>
            <w:vAlign w:val="center"/>
          </w:tcPr>
          <w:p w14:paraId="34FAB709">
            <w:pPr>
              <w:spacing w:line="500" w:lineRule="exact"/>
              <w:jc w:val="center"/>
              <w:rPr>
                <w:rFonts w:ascii="宋体" w:hAnsi="宋体" w:eastAsia="宋体" w:cs="宋体"/>
                <w:sz w:val="24"/>
                <w:szCs w:val="24"/>
              </w:rPr>
            </w:pPr>
            <w:r>
              <w:rPr>
                <w:rFonts w:hint="eastAsia" w:ascii="宋体" w:hAnsi="宋体" w:eastAsia="宋体" w:cs="宋体"/>
                <w:sz w:val="24"/>
                <w:szCs w:val="24"/>
              </w:rPr>
              <w:t>备注</w:t>
            </w:r>
          </w:p>
        </w:tc>
        <w:tc>
          <w:tcPr>
            <w:tcW w:w="6804" w:type="dxa"/>
            <w:gridSpan w:val="4"/>
            <w:tcBorders>
              <w:top w:val="single" w:color="auto" w:sz="6" w:space="0"/>
              <w:left w:val="single" w:color="auto" w:sz="6" w:space="0"/>
              <w:bottom w:val="single" w:color="auto" w:sz="6" w:space="0"/>
              <w:right w:val="single" w:color="auto" w:sz="6" w:space="0"/>
            </w:tcBorders>
            <w:vAlign w:val="center"/>
          </w:tcPr>
          <w:p w14:paraId="35EB296E">
            <w:pPr>
              <w:spacing w:line="500" w:lineRule="exact"/>
              <w:jc w:val="center"/>
              <w:rPr>
                <w:rFonts w:ascii="宋体" w:hAnsi="宋体" w:eastAsia="宋体" w:cs="宋体"/>
                <w:sz w:val="24"/>
                <w:szCs w:val="24"/>
              </w:rPr>
            </w:pPr>
          </w:p>
        </w:tc>
      </w:tr>
    </w:tbl>
    <w:p w14:paraId="267DABA1">
      <w:pPr>
        <w:rPr>
          <w:rFonts w:ascii="宋体" w:hAnsi="宋体" w:eastAsia="宋体" w:cs="宋体"/>
          <w:szCs w:val="24"/>
        </w:rPr>
      </w:pPr>
    </w:p>
    <w:p w14:paraId="5388828F">
      <w:pPr>
        <w:spacing w:line="360" w:lineRule="auto"/>
        <w:rPr>
          <w:rFonts w:ascii="宋体" w:hAnsi="宋体" w:eastAsia="宋体" w:cs="宋体"/>
          <w:szCs w:val="21"/>
        </w:rPr>
      </w:pPr>
    </w:p>
    <w:p w14:paraId="1F2D7316">
      <w:pPr>
        <w:snapToGrid w:val="0"/>
        <w:spacing w:line="560" w:lineRule="exact"/>
        <w:ind w:firstLine="480" w:firstLineChars="200"/>
        <w:jc w:val="center"/>
        <w:outlineLvl w:val="0"/>
        <w:rPr>
          <w:rFonts w:ascii="宋体" w:hAnsi="宋体" w:eastAsia="宋体" w:cs="宋体"/>
          <w:sz w:val="24"/>
          <w:szCs w:val="24"/>
        </w:rPr>
      </w:pPr>
      <w:bookmarkStart w:id="47" w:name="_Toc25872"/>
      <w:r>
        <w:rPr>
          <w:rFonts w:ascii="宋体" w:hAnsi="宋体" w:eastAsia="宋体" w:cs="宋体"/>
          <w:sz w:val="24"/>
          <w:szCs w:val="24"/>
        </w:rPr>
        <w:t>法定代表人</w:t>
      </w:r>
      <w:r>
        <w:rPr>
          <w:rFonts w:hint="eastAsia" w:ascii="宋体" w:hAnsi="宋体" w:eastAsia="宋体" w:cs="宋体"/>
          <w:sz w:val="24"/>
          <w:szCs w:val="24"/>
        </w:rPr>
        <w:t>（盖章）</w:t>
      </w:r>
      <w:r>
        <w:rPr>
          <w:rFonts w:ascii="宋体" w:hAnsi="宋体" w:eastAsia="宋体" w:cs="宋体"/>
          <w:sz w:val="24"/>
          <w:szCs w:val="24"/>
        </w:rPr>
        <w:t>：</w:t>
      </w:r>
      <w:bookmarkEnd w:id="47"/>
    </w:p>
    <w:p w14:paraId="3B29A6E0">
      <w:pPr>
        <w:snapToGrid w:val="0"/>
        <w:spacing w:line="560" w:lineRule="exact"/>
        <w:ind w:firstLine="480" w:firstLineChars="200"/>
        <w:jc w:val="center"/>
        <w:outlineLvl w:val="0"/>
        <w:rPr>
          <w:rFonts w:ascii="宋体" w:hAnsi="宋体" w:eastAsia="宋体" w:cs="宋体"/>
          <w:sz w:val="24"/>
          <w:szCs w:val="24"/>
        </w:rPr>
      </w:pPr>
      <w:r>
        <w:rPr>
          <w:rFonts w:hint="eastAsia" w:ascii="宋体" w:hAnsi="宋体" w:eastAsia="宋体" w:cs="宋体"/>
          <w:sz w:val="24"/>
          <w:szCs w:val="24"/>
        </w:rPr>
        <w:t xml:space="preserve">           </w:t>
      </w:r>
      <w:bookmarkStart w:id="48" w:name="_Toc32122"/>
      <w:r>
        <w:rPr>
          <w:rFonts w:ascii="宋体" w:hAnsi="宋体" w:eastAsia="宋体" w:cs="宋体"/>
          <w:sz w:val="24"/>
          <w:szCs w:val="24"/>
        </w:rPr>
        <w:t>磋商供应商：（全称并加盖公章）</w:t>
      </w:r>
      <w:bookmarkEnd w:id="48"/>
    </w:p>
    <w:p w14:paraId="4D3419B2">
      <w:pPr>
        <w:snapToGrid w:val="0"/>
        <w:spacing w:line="560" w:lineRule="exact"/>
        <w:ind w:firstLine="480" w:firstLineChars="200"/>
        <w:jc w:val="center"/>
        <w:outlineLvl w:val="0"/>
        <w:rPr>
          <w:rFonts w:ascii="宋体" w:hAnsi="宋体" w:eastAsia="宋体" w:cs="宋体"/>
          <w:sz w:val="24"/>
          <w:szCs w:val="24"/>
        </w:rPr>
      </w:pPr>
      <w:bookmarkStart w:id="49" w:name="_Toc25164"/>
      <w:r>
        <w:rPr>
          <w:rFonts w:ascii="宋体" w:hAnsi="宋体" w:eastAsia="宋体" w:cs="宋体"/>
          <w:sz w:val="24"/>
          <w:szCs w:val="24"/>
        </w:rPr>
        <w:t>年 月 日</w:t>
      </w:r>
      <w:bookmarkEnd w:id="49"/>
    </w:p>
    <w:p w14:paraId="083398DD">
      <w:pPr>
        <w:snapToGrid w:val="0"/>
        <w:spacing w:line="560" w:lineRule="exact"/>
        <w:ind w:firstLine="482" w:firstLineChars="200"/>
        <w:jc w:val="center"/>
        <w:outlineLvl w:val="0"/>
        <w:rPr>
          <w:rFonts w:ascii="宋体" w:hAnsi="宋体" w:eastAsia="宋体" w:cs="宋体"/>
          <w:b/>
          <w:bCs/>
          <w:sz w:val="24"/>
          <w:szCs w:val="32"/>
        </w:rPr>
      </w:pPr>
      <w:r>
        <w:rPr>
          <w:rFonts w:hint="eastAsia" w:ascii="宋体" w:hAnsi="宋体" w:eastAsia="宋体" w:cs="宋体"/>
          <w:b/>
          <w:bCs/>
          <w:color w:val="333333"/>
          <w:kern w:val="0"/>
          <w:sz w:val="24"/>
          <w:szCs w:val="24"/>
          <w:shd w:val="clear" w:color="auto" w:fill="FFFFFF"/>
        </w:rPr>
        <w:br w:type="page"/>
      </w:r>
    </w:p>
    <w:p w14:paraId="651C6B40">
      <w:pPr>
        <w:spacing w:line="360" w:lineRule="auto"/>
        <w:jc w:val="center"/>
        <w:outlineLvl w:val="1"/>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 xml:space="preserve">   </w:t>
      </w:r>
      <w:bookmarkStart w:id="50" w:name="_Toc19728"/>
      <w:r>
        <w:rPr>
          <w:rFonts w:hint="eastAsia" w:ascii="宋体" w:hAnsi="宋体" w:eastAsia="宋体" w:cs="Times New Roman"/>
          <w:b/>
          <w:bCs/>
          <w:color w:val="000000" w:themeColor="text1"/>
          <w:kern w:val="0"/>
          <w:sz w:val="32"/>
          <w:szCs w:val="32"/>
          <w:lang w:eastAsia="zh-CN"/>
          <w14:textFill>
            <w14:solidFill>
              <w14:schemeClr w14:val="tx1"/>
            </w14:solidFill>
          </w14:textFill>
        </w:rPr>
        <w:t>五</w:t>
      </w:r>
      <w:r>
        <w:rPr>
          <w:rFonts w:hint="eastAsia" w:ascii="宋体" w:hAnsi="宋体" w:eastAsia="宋体" w:cs="Times New Roman"/>
          <w:b/>
          <w:bCs/>
          <w:color w:val="000000" w:themeColor="text1"/>
          <w:kern w:val="0"/>
          <w:sz w:val="32"/>
          <w:szCs w:val="32"/>
          <w14:textFill>
            <w14:solidFill>
              <w14:schemeClr w14:val="tx1"/>
            </w14:solidFill>
          </w14:textFill>
        </w:rPr>
        <w:t>、商务响应表（格式）</w:t>
      </w:r>
      <w:bookmarkEnd w:id="50"/>
    </w:p>
    <w:p w14:paraId="33C5FB02">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磋商供应商名称：</w:t>
      </w:r>
    </w:p>
    <w:p w14:paraId="76FAD9DF">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项目编号：</w:t>
      </w:r>
    </w:p>
    <w:tbl>
      <w:tblPr>
        <w:tblStyle w:val="12"/>
        <w:tblW w:w="9322" w:type="dxa"/>
        <w:jc w:val="center"/>
        <w:tblLayout w:type="fixed"/>
        <w:tblCellMar>
          <w:top w:w="0" w:type="dxa"/>
          <w:left w:w="108" w:type="dxa"/>
          <w:bottom w:w="0" w:type="dxa"/>
          <w:right w:w="108" w:type="dxa"/>
        </w:tblCellMar>
      </w:tblPr>
      <w:tblGrid>
        <w:gridCol w:w="2093"/>
        <w:gridCol w:w="2126"/>
        <w:gridCol w:w="1559"/>
        <w:gridCol w:w="3544"/>
      </w:tblGrid>
      <w:tr w14:paraId="451C6BCD">
        <w:tblPrEx>
          <w:tblCellMar>
            <w:top w:w="0" w:type="dxa"/>
            <w:left w:w="108" w:type="dxa"/>
            <w:bottom w:w="0" w:type="dxa"/>
            <w:right w:w="108" w:type="dxa"/>
          </w:tblCellMar>
        </w:tblPrEx>
        <w:trPr>
          <w:trHeight w:val="1050" w:hRule="atLeast"/>
          <w:jc w:val="center"/>
        </w:trPr>
        <w:tc>
          <w:tcPr>
            <w:tcW w:w="2093" w:type="dxa"/>
            <w:tcBorders>
              <w:top w:val="single" w:color="auto" w:sz="4" w:space="0"/>
              <w:left w:val="single" w:color="auto" w:sz="4" w:space="0"/>
              <w:bottom w:val="single" w:color="auto" w:sz="4" w:space="0"/>
              <w:right w:val="single" w:color="auto" w:sz="4" w:space="0"/>
            </w:tcBorders>
          </w:tcPr>
          <w:p w14:paraId="08D12AD0">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项目</w:t>
            </w:r>
          </w:p>
        </w:tc>
        <w:tc>
          <w:tcPr>
            <w:tcW w:w="2126" w:type="dxa"/>
            <w:tcBorders>
              <w:top w:val="single" w:color="auto" w:sz="4" w:space="0"/>
              <w:left w:val="nil"/>
              <w:bottom w:val="single" w:color="auto" w:sz="4" w:space="0"/>
              <w:right w:val="single" w:color="auto" w:sz="4" w:space="0"/>
            </w:tcBorders>
          </w:tcPr>
          <w:p w14:paraId="79F40EC6">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磋商文件要求</w:t>
            </w:r>
          </w:p>
        </w:tc>
        <w:tc>
          <w:tcPr>
            <w:tcW w:w="1559" w:type="dxa"/>
            <w:tcBorders>
              <w:top w:val="single" w:color="auto" w:sz="4" w:space="0"/>
              <w:left w:val="nil"/>
              <w:bottom w:val="single" w:color="auto" w:sz="4" w:space="0"/>
              <w:right w:val="single" w:color="auto" w:sz="4" w:space="0"/>
            </w:tcBorders>
          </w:tcPr>
          <w:p w14:paraId="4F5EB0E6">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是否响应</w:t>
            </w:r>
          </w:p>
        </w:tc>
        <w:tc>
          <w:tcPr>
            <w:tcW w:w="3544" w:type="dxa"/>
            <w:tcBorders>
              <w:top w:val="single" w:color="auto" w:sz="4" w:space="0"/>
              <w:left w:val="nil"/>
              <w:bottom w:val="single" w:color="auto" w:sz="4" w:space="0"/>
              <w:right w:val="single" w:color="auto" w:sz="4" w:space="0"/>
            </w:tcBorders>
          </w:tcPr>
          <w:p w14:paraId="4221F3D1">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磋商供应商的承诺或说明</w:t>
            </w:r>
          </w:p>
        </w:tc>
      </w:tr>
      <w:tr w14:paraId="1FEE041D">
        <w:tblPrEx>
          <w:tblCellMar>
            <w:top w:w="0" w:type="dxa"/>
            <w:left w:w="108" w:type="dxa"/>
            <w:bottom w:w="0" w:type="dxa"/>
            <w:right w:w="108" w:type="dxa"/>
          </w:tblCellMar>
        </w:tblPrEx>
        <w:trPr>
          <w:trHeight w:val="945" w:hRule="atLeast"/>
          <w:jc w:val="center"/>
        </w:trPr>
        <w:tc>
          <w:tcPr>
            <w:tcW w:w="2093" w:type="dxa"/>
            <w:tcBorders>
              <w:top w:val="single" w:color="auto" w:sz="4" w:space="0"/>
              <w:left w:val="single" w:color="auto" w:sz="4" w:space="0"/>
              <w:bottom w:val="single" w:color="auto" w:sz="4" w:space="0"/>
              <w:right w:val="single" w:color="auto" w:sz="4" w:space="0"/>
            </w:tcBorders>
          </w:tcPr>
          <w:p w14:paraId="20CCC603">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质量要求</w:t>
            </w:r>
          </w:p>
        </w:tc>
        <w:tc>
          <w:tcPr>
            <w:tcW w:w="2126" w:type="dxa"/>
            <w:tcBorders>
              <w:top w:val="single" w:color="auto" w:sz="4" w:space="0"/>
              <w:left w:val="nil"/>
              <w:bottom w:val="single" w:color="auto" w:sz="4" w:space="0"/>
              <w:right w:val="single" w:color="auto" w:sz="4" w:space="0"/>
            </w:tcBorders>
          </w:tcPr>
          <w:p w14:paraId="39603D48">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tcPr>
          <w:p w14:paraId="57EE1D28">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tc>
        <w:tc>
          <w:tcPr>
            <w:tcW w:w="3544" w:type="dxa"/>
            <w:tcBorders>
              <w:top w:val="single" w:color="auto" w:sz="4" w:space="0"/>
              <w:left w:val="nil"/>
              <w:bottom w:val="single" w:color="auto" w:sz="4" w:space="0"/>
              <w:right w:val="single" w:color="auto" w:sz="4" w:space="0"/>
            </w:tcBorders>
          </w:tcPr>
          <w:p w14:paraId="0BE372FC">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tc>
      </w:tr>
      <w:tr w14:paraId="49C652A9">
        <w:tblPrEx>
          <w:tblCellMar>
            <w:top w:w="0" w:type="dxa"/>
            <w:left w:w="108" w:type="dxa"/>
            <w:bottom w:w="0" w:type="dxa"/>
            <w:right w:w="108" w:type="dxa"/>
          </w:tblCellMar>
        </w:tblPrEx>
        <w:trPr>
          <w:trHeight w:val="825" w:hRule="atLeast"/>
          <w:jc w:val="center"/>
        </w:trPr>
        <w:tc>
          <w:tcPr>
            <w:tcW w:w="2093" w:type="dxa"/>
            <w:tcBorders>
              <w:top w:val="single" w:color="auto" w:sz="4" w:space="0"/>
              <w:left w:val="single" w:color="auto" w:sz="4" w:space="0"/>
              <w:bottom w:val="single" w:color="auto" w:sz="4" w:space="0"/>
              <w:right w:val="single" w:color="auto" w:sz="4" w:space="0"/>
            </w:tcBorders>
          </w:tcPr>
          <w:p w14:paraId="793FCADE">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磋商有效期</w:t>
            </w:r>
          </w:p>
        </w:tc>
        <w:tc>
          <w:tcPr>
            <w:tcW w:w="2126" w:type="dxa"/>
            <w:tcBorders>
              <w:top w:val="single" w:color="auto" w:sz="4" w:space="0"/>
              <w:left w:val="nil"/>
              <w:bottom w:val="single" w:color="auto" w:sz="4" w:space="0"/>
              <w:right w:val="single" w:color="auto" w:sz="4" w:space="0"/>
            </w:tcBorders>
          </w:tcPr>
          <w:p w14:paraId="02CAE77A">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tcPr>
          <w:p w14:paraId="1012E3CF">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tc>
        <w:tc>
          <w:tcPr>
            <w:tcW w:w="3544" w:type="dxa"/>
            <w:tcBorders>
              <w:top w:val="single" w:color="auto" w:sz="4" w:space="0"/>
              <w:left w:val="nil"/>
              <w:bottom w:val="single" w:color="auto" w:sz="4" w:space="0"/>
              <w:right w:val="single" w:color="auto" w:sz="4" w:space="0"/>
            </w:tcBorders>
          </w:tcPr>
          <w:p w14:paraId="21FB8C1D">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tc>
      </w:tr>
      <w:tr w14:paraId="62FB5AEF">
        <w:tblPrEx>
          <w:tblCellMar>
            <w:top w:w="0" w:type="dxa"/>
            <w:left w:w="108" w:type="dxa"/>
            <w:bottom w:w="0" w:type="dxa"/>
            <w:right w:w="108" w:type="dxa"/>
          </w:tblCellMar>
        </w:tblPrEx>
        <w:trPr>
          <w:trHeight w:val="825" w:hRule="atLeast"/>
          <w:jc w:val="center"/>
        </w:trPr>
        <w:tc>
          <w:tcPr>
            <w:tcW w:w="2093" w:type="dxa"/>
            <w:tcBorders>
              <w:top w:val="single" w:color="auto" w:sz="4" w:space="0"/>
              <w:left w:val="single" w:color="auto" w:sz="4" w:space="0"/>
              <w:bottom w:val="single" w:color="auto" w:sz="4" w:space="0"/>
              <w:right w:val="single" w:color="auto" w:sz="4" w:space="0"/>
            </w:tcBorders>
          </w:tcPr>
          <w:p w14:paraId="0584B369">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Calibri" w:hAnsi="Calibri" w:eastAsia="宋体" w:cs="Times New Roman"/>
                <w:color w:val="000000" w:themeColor="text1"/>
                <w:kern w:val="0"/>
                <w:sz w:val="28"/>
                <w:szCs w:val="28"/>
                <w14:textFill>
                  <w14:solidFill>
                    <w14:schemeClr w14:val="tx1"/>
                  </w14:solidFill>
                </w14:textFill>
              </w:rPr>
              <w:t>服务期</w:t>
            </w:r>
          </w:p>
        </w:tc>
        <w:tc>
          <w:tcPr>
            <w:tcW w:w="2126" w:type="dxa"/>
            <w:tcBorders>
              <w:top w:val="single" w:color="auto" w:sz="4" w:space="0"/>
              <w:left w:val="nil"/>
              <w:bottom w:val="single" w:color="auto" w:sz="4" w:space="0"/>
              <w:right w:val="single" w:color="auto" w:sz="4" w:space="0"/>
            </w:tcBorders>
          </w:tcPr>
          <w:p w14:paraId="0A6E2374">
            <w:pPr>
              <w:widowControl/>
              <w:spacing w:line="520" w:lineRule="atLeast"/>
              <w:rPr>
                <w:rFonts w:ascii="宋体" w:hAnsi="宋体" w:eastAsia="宋体" w:cs="Times New Roman"/>
                <w:color w:val="000000" w:themeColor="text1"/>
                <w:kern w:val="0"/>
                <w:sz w:val="28"/>
                <w:szCs w:val="28"/>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tcPr>
          <w:p w14:paraId="54A80B34">
            <w:pPr>
              <w:widowControl/>
              <w:spacing w:line="520" w:lineRule="atLeast"/>
              <w:rPr>
                <w:rFonts w:ascii="宋体" w:hAnsi="宋体" w:eastAsia="宋体" w:cs="Times New Roman"/>
                <w:color w:val="000000" w:themeColor="text1"/>
                <w:kern w:val="0"/>
                <w:sz w:val="28"/>
                <w:szCs w:val="28"/>
                <w14:textFill>
                  <w14:solidFill>
                    <w14:schemeClr w14:val="tx1"/>
                  </w14:solidFill>
                </w14:textFill>
              </w:rPr>
            </w:pPr>
          </w:p>
        </w:tc>
        <w:tc>
          <w:tcPr>
            <w:tcW w:w="3544" w:type="dxa"/>
            <w:tcBorders>
              <w:top w:val="single" w:color="auto" w:sz="4" w:space="0"/>
              <w:left w:val="nil"/>
              <w:bottom w:val="single" w:color="auto" w:sz="4" w:space="0"/>
              <w:right w:val="single" w:color="auto" w:sz="4" w:space="0"/>
            </w:tcBorders>
          </w:tcPr>
          <w:p w14:paraId="7AB3674D">
            <w:pPr>
              <w:widowControl/>
              <w:spacing w:line="520" w:lineRule="atLeast"/>
              <w:rPr>
                <w:rFonts w:ascii="宋体" w:hAnsi="宋体" w:eastAsia="宋体" w:cs="Times New Roman"/>
                <w:color w:val="000000" w:themeColor="text1"/>
                <w:kern w:val="0"/>
                <w:sz w:val="28"/>
                <w:szCs w:val="28"/>
                <w14:textFill>
                  <w14:solidFill>
                    <w14:schemeClr w14:val="tx1"/>
                  </w14:solidFill>
                </w14:textFill>
              </w:rPr>
            </w:pPr>
          </w:p>
        </w:tc>
      </w:tr>
      <w:tr w14:paraId="23802FE4">
        <w:tblPrEx>
          <w:tblCellMar>
            <w:top w:w="0" w:type="dxa"/>
            <w:left w:w="108" w:type="dxa"/>
            <w:bottom w:w="0" w:type="dxa"/>
            <w:right w:w="108" w:type="dxa"/>
          </w:tblCellMar>
        </w:tblPrEx>
        <w:trPr>
          <w:trHeight w:val="708" w:hRule="atLeast"/>
          <w:jc w:val="center"/>
        </w:trPr>
        <w:tc>
          <w:tcPr>
            <w:tcW w:w="2093" w:type="dxa"/>
            <w:tcBorders>
              <w:top w:val="single" w:color="auto" w:sz="4" w:space="0"/>
              <w:left w:val="single" w:color="auto" w:sz="4" w:space="0"/>
              <w:bottom w:val="single" w:color="auto" w:sz="4" w:space="0"/>
              <w:right w:val="single" w:color="auto" w:sz="4" w:space="0"/>
            </w:tcBorders>
          </w:tcPr>
          <w:p w14:paraId="5D645E52">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w:t>
            </w:r>
          </w:p>
        </w:tc>
        <w:tc>
          <w:tcPr>
            <w:tcW w:w="2126" w:type="dxa"/>
            <w:tcBorders>
              <w:top w:val="single" w:color="auto" w:sz="4" w:space="0"/>
              <w:left w:val="nil"/>
              <w:bottom w:val="single" w:color="auto" w:sz="4" w:space="0"/>
              <w:right w:val="single" w:color="auto" w:sz="4" w:space="0"/>
            </w:tcBorders>
          </w:tcPr>
          <w:p w14:paraId="0E2602EB">
            <w:pPr>
              <w:widowControl/>
              <w:spacing w:line="520" w:lineRule="atLeast"/>
              <w:rPr>
                <w:rFonts w:ascii="宋体" w:hAnsi="宋体" w:eastAsia="宋体" w:cs="Times New Roman"/>
                <w:color w:val="000000" w:themeColor="text1"/>
                <w:kern w:val="0"/>
                <w:sz w:val="28"/>
                <w:szCs w:val="28"/>
                <w14:textFill>
                  <w14:solidFill>
                    <w14:schemeClr w14:val="tx1"/>
                  </w14:solidFill>
                </w14:textFill>
              </w:rPr>
            </w:pPr>
          </w:p>
        </w:tc>
        <w:tc>
          <w:tcPr>
            <w:tcW w:w="1559" w:type="dxa"/>
            <w:tcBorders>
              <w:top w:val="single" w:color="auto" w:sz="4" w:space="0"/>
              <w:left w:val="nil"/>
              <w:bottom w:val="single" w:color="auto" w:sz="4" w:space="0"/>
              <w:right w:val="single" w:color="auto" w:sz="4" w:space="0"/>
            </w:tcBorders>
          </w:tcPr>
          <w:p w14:paraId="78CFEAF9">
            <w:pPr>
              <w:widowControl/>
              <w:spacing w:line="520" w:lineRule="atLeast"/>
              <w:rPr>
                <w:rFonts w:ascii="宋体" w:hAnsi="宋体" w:eastAsia="宋体" w:cs="Times New Roman"/>
                <w:color w:val="000000" w:themeColor="text1"/>
                <w:kern w:val="0"/>
                <w:sz w:val="28"/>
                <w:szCs w:val="28"/>
                <w14:textFill>
                  <w14:solidFill>
                    <w14:schemeClr w14:val="tx1"/>
                  </w14:solidFill>
                </w14:textFill>
              </w:rPr>
            </w:pPr>
          </w:p>
        </w:tc>
        <w:tc>
          <w:tcPr>
            <w:tcW w:w="3544" w:type="dxa"/>
            <w:tcBorders>
              <w:top w:val="single" w:color="auto" w:sz="4" w:space="0"/>
              <w:left w:val="nil"/>
              <w:bottom w:val="single" w:color="auto" w:sz="4" w:space="0"/>
              <w:right w:val="single" w:color="auto" w:sz="4" w:space="0"/>
            </w:tcBorders>
          </w:tcPr>
          <w:p w14:paraId="78B75334">
            <w:pPr>
              <w:widowControl/>
              <w:spacing w:line="520" w:lineRule="atLeast"/>
              <w:rPr>
                <w:rFonts w:ascii="宋体" w:hAnsi="宋体" w:eastAsia="宋体" w:cs="Times New Roman"/>
                <w:color w:val="000000" w:themeColor="text1"/>
                <w:kern w:val="0"/>
                <w:sz w:val="28"/>
                <w:szCs w:val="28"/>
                <w14:textFill>
                  <w14:solidFill>
                    <w14:schemeClr w14:val="tx1"/>
                  </w14:solidFill>
                </w14:textFill>
              </w:rPr>
            </w:pPr>
          </w:p>
        </w:tc>
      </w:tr>
      <w:tr w14:paraId="03A8230D">
        <w:tblPrEx>
          <w:tblCellMar>
            <w:top w:w="0" w:type="dxa"/>
            <w:left w:w="108" w:type="dxa"/>
            <w:bottom w:w="0" w:type="dxa"/>
            <w:right w:w="108" w:type="dxa"/>
          </w:tblCellMar>
        </w:tblPrEx>
        <w:trPr>
          <w:trHeight w:val="525" w:hRule="atLeast"/>
          <w:jc w:val="center"/>
        </w:trPr>
        <w:tc>
          <w:tcPr>
            <w:tcW w:w="2093" w:type="dxa"/>
            <w:tcBorders>
              <w:top w:val="single" w:color="auto" w:sz="4" w:space="0"/>
              <w:left w:val="single" w:color="auto" w:sz="4" w:space="0"/>
              <w:bottom w:val="single" w:color="auto" w:sz="4" w:space="0"/>
              <w:right w:val="single" w:color="auto" w:sz="4" w:space="0"/>
            </w:tcBorders>
          </w:tcPr>
          <w:p w14:paraId="55519EB0">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p>
        </w:tc>
        <w:tc>
          <w:tcPr>
            <w:tcW w:w="2126" w:type="dxa"/>
            <w:tcBorders>
              <w:top w:val="single" w:color="auto" w:sz="4" w:space="0"/>
              <w:left w:val="nil"/>
              <w:bottom w:val="single" w:color="auto" w:sz="4" w:space="0"/>
              <w:right w:val="single" w:color="auto" w:sz="4" w:space="0"/>
            </w:tcBorders>
          </w:tcPr>
          <w:p w14:paraId="120EE633">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tc>
        <w:tc>
          <w:tcPr>
            <w:tcW w:w="1559" w:type="dxa"/>
            <w:tcBorders>
              <w:top w:val="single" w:color="auto" w:sz="4" w:space="0"/>
              <w:left w:val="nil"/>
              <w:bottom w:val="single" w:color="auto" w:sz="4" w:space="0"/>
              <w:right w:val="single" w:color="auto" w:sz="4" w:space="0"/>
            </w:tcBorders>
          </w:tcPr>
          <w:p w14:paraId="22760CA8">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tc>
        <w:tc>
          <w:tcPr>
            <w:tcW w:w="3544" w:type="dxa"/>
            <w:tcBorders>
              <w:top w:val="single" w:color="auto" w:sz="4" w:space="0"/>
              <w:left w:val="nil"/>
              <w:bottom w:val="single" w:color="auto" w:sz="4" w:space="0"/>
              <w:right w:val="single" w:color="auto" w:sz="4" w:space="0"/>
            </w:tcBorders>
          </w:tcPr>
          <w:p w14:paraId="35F07B3D">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w:t>
            </w:r>
          </w:p>
        </w:tc>
      </w:tr>
    </w:tbl>
    <w:p w14:paraId="1B6E69FF">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p>
    <w:p w14:paraId="7D82BB28">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p>
    <w:p w14:paraId="71A66701">
      <w:pPr>
        <w:widowControl/>
        <w:spacing w:line="520" w:lineRule="atLeast"/>
        <w:ind w:firstLine="3780" w:firstLineChars="135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法定代表人（盖章）： </w:t>
      </w:r>
    </w:p>
    <w:p w14:paraId="31D2063F">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磋商供应商：（全称并加盖公章）</w:t>
      </w:r>
    </w:p>
    <w:p w14:paraId="0AA198A7">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年 月 日</w:t>
      </w:r>
    </w:p>
    <w:p w14:paraId="3B2A3140">
      <w:pPr>
        <w:widowControl/>
        <w:spacing w:line="560" w:lineRule="atLeast"/>
        <w:jc w:val="center"/>
        <w:rPr>
          <w:rFonts w:ascii="Calibri" w:hAnsi="Calibri" w:eastAsia="宋体" w:cs="Times New Roman"/>
          <w:color w:val="000000" w:themeColor="text1"/>
          <w:kern w:val="0"/>
          <w:sz w:val="28"/>
          <w:szCs w:val="28"/>
          <w14:textFill>
            <w14:solidFill>
              <w14:schemeClr w14:val="tx1"/>
            </w14:solidFill>
          </w14:textFill>
        </w:rPr>
      </w:pPr>
    </w:p>
    <w:p w14:paraId="59F33522">
      <w:pPr>
        <w:widowControl/>
        <w:jc w:val="center"/>
        <w:rPr>
          <w:rFonts w:ascii="宋体" w:hAnsi="宋体" w:eastAsia="宋体" w:cs="宋体"/>
          <w:color w:val="000000" w:themeColor="text1"/>
          <w:kern w:val="0"/>
          <w:sz w:val="32"/>
          <w:szCs w:val="32"/>
          <w14:textFill>
            <w14:solidFill>
              <w14:schemeClr w14:val="tx1"/>
            </w14:solidFill>
          </w14:textFill>
        </w:rPr>
      </w:pPr>
    </w:p>
    <w:p w14:paraId="041050B4">
      <w:pPr>
        <w:widowControl/>
        <w:jc w:val="center"/>
        <w:rPr>
          <w:rFonts w:ascii="宋体" w:hAnsi="宋体" w:eastAsia="宋体" w:cs="宋体"/>
          <w:color w:val="000000" w:themeColor="text1"/>
          <w:kern w:val="0"/>
          <w:sz w:val="32"/>
          <w:szCs w:val="32"/>
          <w14:textFill>
            <w14:solidFill>
              <w14:schemeClr w14:val="tx1"/>
            </w14:solidFill>
          </w14:textFill>
        </w:rPr>
      </w:pPr>
    </w:p>
    <w:p w14:paraId="22C40E0E">
      <w:pPr>
        <w:widowControl/>
        <w:spacing w:line="520" w:lineRule="atLeast"/>
        <w:jc w:val="center"/>
        <w:rPr>
          <w:rFonts w:ascii="宋体" w:hAnsi="宋体" w:eastAsia="宋体" w:cs="宋体"/>
          <w:color w:val="000000" w:themeColor="text1"/>
          <w:kern w:val="0"/>
          <w:sz w:val="28"/>
          <w:szCs w:val="28"/>
          <w14:textFill>
            <w14:solidFill>
              <w14:schemeClr w14:val="tx1"/>
            </w14:solidFill>
          </w14:textFill>
        </w:rPr>
      </w:pPr>
    </w:p>
    <w:p w14:paraId="5C4B45C4">
      <w:pPr>
        <w:widowControl/>
        <w:spacing w:line="520" w:lineRule="atLeast"/>
        <w:jc w:val="center"/>
        <w:rPr>
          <w:rFonts w:ascii="宋体" w:hAnsi="宋体" w:eastAsia="宋体" w:cs="宋体"/>
          <w:color w:val="000000" w:themeColor="text1"/>
          <w:kern w:val="0"/>
          <w:sz w:val="28"/>
          <w:szCs w:val="28"/>
          <w14:textFill>
            <w14:solidFill>
              <w14:schemeClr w14:val="tx1"/>
            </w14:solidFill>
          </w14:textFill>
        </w:rPr>
      </w:pPr>
    </w:p>
    <w:p w14:paraId="7C3B973D">
      <w:pPr>
        <w:widowControl/>
        <w:jc w:val="center"/>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br w:type="page"/>
      </w:r>
      <w:r>
        <w:rPr>
          <w:rFonts w:hint="eastAsia" w:ascii="宋体" w:hAnsi="宋体" w:eastAsia="宋体" w:cs="Times New Roman"/>
          <w:b/>
          <w:bCs/>
          <w:color w:val="000000" w:themeColor="text1"/>
          <w:kern w:val="0"/>
          <w:sz w:val="32"/>
          <w:szCs w:val="32"/>
          <w:lang w:eastAsia="zh-CN"/>
          <w14:textFill>
            <w14:solidFill>
              <w14:schemeClr w14:val="tx1"/>
            </w14:solidFill>
          </w14:textFill>
        </w:rPr>
        <w:t>六</w:t>
      </w:r>
      <w:r>
        <w:rPr>
          <w:rFonts w:hint="eastAsia" w:ascii="宋体" w:hAnsi="宋体" w:eastAsia="宋体" w:cs="Times New Roman"/>
          <w:b/>
          <w:bCs/>
          <w:color w:val="000000" w:themeColor="text1"/>
          <w:kern w:val="0"/>
          <w:sz w:val="32"/>
          <w:szCs w:val="32"/>
          <w14:textFill>
            <w14:solidFill>
              <w14:schemeClr w14:val="tx1"/>
            </w14:solidFill>
          </w14:textFill>
        </w:rPr>
        <w:t>、证明文件</w:t>
      </w:r>
    </w:p>
    <w:p w14:paraId="3F8FE2C1">
      <w:pPr>
        <w:widowControl/>
        <w:spacing w:line="600" w:lineRule="atLeast"/>
        <w:ind w:firstLine="562"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1 营业执照复印件</w:t>
      </w:r>
    </w:p>
    <w:p w14:paraId="32351D9F">
      <w:pPr>
        <w:widowControl/>
        <w:spacing w:line="600" w:lineRule="atLeast"/>
        <w:ind w:firstLine="562"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2磋商供应商的信誉、荣誉证书或文件复印件（</w:t>
      </w:r>
      <w:r>
        <w:rPr>
          <w:rFonts w:hint="eastAsia" w:ascii="宋体" w:hAnsi="宋体" w:eastAsia="宋体" w:cs="Times New Roman"/>
          <w:color w:val="000000" w:themeColor="text1"/>
          <w:kern w:val="0"/>
          <w:sz w:val="28"/>
          <w:szCs w:val="28"/>
          <w14:textFill>
            <w14:solidFill>
              <w14:schemeClr w14:val="tx1"/>
            </w14:solidFill>
          </w14:textFill>
        </w:rPr>
        <w:t>如有</w:t>
      </w:r>
      <w:r>
        <w:rPr>
          <w:rFonts w:hint="eastAsia" w:ascii="宋体" w:hAnsi="宋体" w:eastAsia="宋体" w:cs="Times New Roman"/>
          <w:b/>
          <w:bCs/>
          <w:color w:val="000000" w:themeColor="text1"/>
          <w:kern w:val="0"/>
          <w:sz w:val="28"/>
          <w:szCs w:val="28"/>
          <w14:textFill>
            <w14:solidFill>
              <w14:schemeClr w14:val="tx1"/>
            </w14:solidFill>
          </w14:textFill>
        </w:rPr>
        <w:t>）</w:t>
      </w:r>
    </w:p>
    <w:p w14:paraId="0684F08A">
      <w:pPr>
        <w:widowControl/>
        <w:spacing w:line="600" w:lineRule="atLeast"/>
        <w:ind w:firstLine="562"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3磋商供应商的资质证书或文件复印件（</w:t>
      </w:r>
      <w:r>
        <w:rPr>
          <w:rFonts w:hint="eastAsia" w:ascii="宋体" w:hAnsi="宋体" w:eastAsia="宋体" w:cs="Times New Roman"/>
          <w:color w:val="000000" w:themeColor="text1"/>
          <w:kern w:val="0"/>
          <w:sz w:val="28"/>
          <w:szCs w:val="28"/>
          <w14:textFill>
            <w14:solidFill>
              <w14:schemeClr w14:val="tx1"/>
            </w14:solidFill>
          </w14:textFill>
        </w:rPr>
        <w:t>如有</w:t>
      </w:r>
      <w:r>
        <w:rPr>
          <w:rFonts w:hint="eastAsia" w:ascii="宋体" w:hAnsi="宋体" w:eastAsia="宋体" w:cs="Times New Roman"/>
          <w:b/>
          <w:bCs/>
          <w:color w:val="000000" w:themeColor="text1"/>
          <w:kern w:val="0"/>
          <w:sz w:val="28"/>
          <w:szCs w:val="28"/>
          <w14:textFill>
            <w14:solidFill>
              <w14:schemeClr w14:val="tx1"/>
            </w14:solidFill>
          </w14:textFill>
        </w:rPr>
        <w:t>）</w:t>
      </w:r>
    </w:p>
    <w:p w14:paraId="5B495022">
      <w:pPr>
        <w:widowControl/>
        <w:spacing w:line="600" w:lineRule="atLeast"/>
        <w:ind w:firstLine="562"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4磋商供应商情况介绍</w:t>
      </w:r>
      <w:r>
        <w:rPr>
          <w:rFonts w:hint="eastAsia" w:ascii="宋体" w:hAnsi="宋体" w:eastAsia="宋体" w:cs="Times New Roman"/>
          <w:color w:val="000000" w:themeColor="text1"/>
          <w:kern w:val="0"/>
          <w:sz w:val="28"/>
          <w:szCs w:val="28"/>
          <w14:textFill>
            <w14:solidFill>
              <w14:schemeClr w14:val="tx1"/>
            </w14:solidFill>
          </w14:textFill>
        </w:rPr>
        <w:t>（主要产品、技术力量、生产规模、经营业绩等，格式自拟）</w:t>
      </w:r>
    </w:p>
    <w:p w14:paraId="53A198E0">
      <w:pPr>
        <w:widowControl/>
        <w:spacing w:line="600" w:lineRule="atLeast"/>
        <w:ind w:firstLine="562" w:firstLineChars="200"/>
        <w:rPr>
          <w:rFonts w:ascii="宋体" w:hAnsi="宋体" w:eastAsia="宋体" w:cs="Times New Roman"/>
          <w:b/>
          <w:bCs/>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5磋商供应商的成功案例和业绩证明文件</w:t>
      </w:r>
      <w:r>
        <w:rPr>
          <w:rFonts w:hint="eastAsia" w:ascii="宋体" w:hAnsi="宋体" w:eastAsia="宋体" w:cs="Times New Roman"/>
          <w:color w:val="000000" w:themeColor="text1"/>
          <w:kern w:val="0"/>
          <w:sz w:val="28"/>
          <w:szCs w:val="28"/>
          <w14:textFill>
            <w14:solidFill>
              <w14:schemeClr w14:val="tx1"/>
            </w14:solidFill>
          </w14:textFill>
        </w:rPr>
        <w:t>(根据项目需要设定。格式自拟)</w:t>
      </w:r>
    </w:p>
    <w:p w14:paraId="053060B6">
      <w:pPr>
        <w:widowControl/>
        <w:spacing w:line="600" w:lineRule="atLeast"/>
        <w:ind w:firstLine="562"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6磋商供应商的技术服务、售后服务的内容、措施及承诺</w:t>
      </w:r>
      <w:r>
        <w:rPr>
          <w:rFonts w:hint="eastAsia" w:ascii="宋体" w:hAnsi="宋体" w:eastAsia="宋体" w:cs="Times New Roman"/>
          <w:color w:val="000000" w:themeColor="text1"/>
          <w:kern w:val="0"/>
          <w:sz w:val="28"/>
          <w:szCs w:val="28"/>
          <w14:textFill>
            <w14:solidFill>
              <w14:schemeClr w14:val="tx1"/>
            </w14:solidFill>
          </w14:textFill>
        </w:rPr>
        <w:t>（根据项目需要设定。格式自拟）</w:t>
      </w:r>
    </w:p>
    <w:p w14:paraId="690EEAEB">
      <w:pPr>
        <w:widowControl/>
        <w:spacing w:line="600" w:lineRule="atLeast"/>
        <w:ind w:firstLine="562"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b/>
          <w:bCs/>
          <w:color w:val="000000" w:themeColor="text1"/>
          <w:kern w:val="0"/>
          <w:sz w:val="28"/>
          <w:szCs w:val="28"/>
          <w14:textFill>
            <w14:solidFill>
              <w14:schemeClr w14:val="tx1"/>
            </w14:solidFill>
          </w14:textFill>
        </w:rPr>
        <w:t>7磋商供应商需要说明的其他文件和说明</w:t>
      </w:r>
    </w:p>
    <w:p w14:paraId="28F7964A">
      <w:pPr>
        <w:widowControl/>
        <w:jc w:val="center"/>
        <w:rPr>
          <w:rFonts w:ascii="宋体" w:hAnsi="宋体" w:eastAsia="宋体" w:cs="宋体"/>
          <w:color w:val="000000" w:themeColor="text1"/>
          <w:kern w:val="0"/>
          <w:sz w:val="32"/>
          <w:szCs w:val="32"/>
          <w14:textFill>
            <w14:solidFill>
              <w14:schemeClr w14:val="tx1"/>
            </w14:solidFill>
          </w14:textFill>
        </w:rPr>
      </w:pPr>
    </w:p>
    <w:p w14:paraId="18452BFC">
      <w:pPr>
        <w:widowControl/>
        <w:jc w:val="center"/>
        <w:rPr>
          <w:rFonts w:ascii="宋体" w:hAnsi="宋体" w:eastAsia="宋体" w:cs="宋体"/>
          <w:color w:val="000000" w:themeColor="text1"/>
          <w:kern w:val="0"/>
          <w:sz w:val="32"/>
          <w:szCs w:val="32"/>
          <w14:textFill>
            <w14:solidFill>
              <w14:schemeClr w14:val="tx1"/>
            </w14:solidFill>
          </w14:textFill>
        </w:rPr>
      </w:pPr>
    </w:p>
    <w:p w14:paraId="2CAFA4DB">
      <w:pPr>
        <w:widowControl/>
        <w:jc w:val="center"/>
        <w:rPr>
          <w:rFonts w:ascii="宋体" w:hAnsi="宋体" w:eastAsia="宋体" w:cs="宋体"/>
          <w:color w:val="000000" w:themeColor="text1"/>
          <w:kern w:val="0"/>
          <w:sz w:val="32"/>
          <w:szCs w:val="32"/>
          <w14:textFill>
            <w14:solidFill>
              <w14:schemeClr w14:val="tx1"/>
            </w14:solidFill>
          </w14:textFill>
        </w:rPr>
      </w:pPr>
    </w:p>
    <w:p w14:paraId="595072CA">
      <w:pPr>
        <w:widowControl/>
        <w:jc w:val="center"/>
        <w:rPr>
          <w:rFonts w:ascii="宋体" w:hAnsi="宋体" w:eastAsia="宋体" w:cs="宋体"/>
          <w:color w:val="000000" w:themeColor="text1"/>
          <w:kern w:val="0"/>
          <w:sz w:val="32"/>
          <w:szCs w:val="32"/>
          <w14:textFill>
            <w14:solidFill>
              <w14:schemeClr w14:val="tx1"/>
            </w14:solidFill>
          </w14:textFill>
        </w:rPr>
      </w:pPr>
    </w:p>
    <w:p w14:paraId="13E09DB9">
      <w:pPr>
        <w:widowControl/>
        <w:jc w:val="center"/>
        <w:rPr>
          <w:rFonts w:ascii="宋体" w:hAnsi="宋体" w:eastAsia="宋体" w:cs="宋体"/>
          <w:color w:val="000000" w:themeColor="text1"/>
          <w:kern w:val="0"/>
          <w:sz w:val="32"/>
          <w:szCs w:val="32"/>
          <w14:textFill>
            <w14:solidFill>
              <w14:schemeClr w14:val="tx1"/>
            </w14:solidFill>
          </w14:textFill>
        </w:rPr>
      </w:pPr>
    </w:p>
    <w:p w14:paraId="7590B744">
      <w:pPr>
        <w:widowControl/>
        <w:jc w:val="center"/>
        <w:rPr>
          <w:rFonts w:ascii="宋体" w:hAnsi="宋体" w:eastAsia="宋体" w:cs="宋体"/>
          <w:color w:val="000000" w:themeColor="text1"/>
          <w:kern w:val="0"/>
          <w:sz w:val="32"/>
          <w:szCs w:val="32"/>
          <w14:textFill>
            <w14:solidFill>
              <w14:schemeClr w14:val="tx1"/>
            </w14:solidFill>
          </w14:textFill>
        </w:rPr>
      </w:pPr>
    </w:p>
    <w:p w14:paraId="78962699">
      <w:pPr>
        <w:widowControl/>
        <w:jc w:val="center"/>
        <w:rPr>
          <w:rFonts w:ascii="宋体" w:hAnsi="宋体" w:eastAsia="宋体" w:cs="宋体"/>
          <w:color w:val="000000" w:themeColor="text1"/>
          <w:kern w:val="0"/>
          <w:sz w:val="32"/>
          <w:szCs w:val="32"/>
          <w14:textFill>
            <w14:solidFill>
              <w14:schemeClr w14:val="tx1"/>
            </w14:solidFill>
          </w14:textFill>
        </w:rPr>
      </w:pPr>
    </w:p>
    <w:p w14:paraId="3EF1773B">
      <w:pPr>
        <w:widowControl/>
        <w:jc w:val="center"/>
        <w:rPr>
          <w:rFonts w:ascii="宋体" w:hAnsi="宋体" w:eastAsia="宋体" w:cs="宋体"/>
          <w:color w:val="000000" w:themeColor="text1"/>
          <w:kern w:val="0"/>
          <w:sz w:val="32"/>
          <w:szCs w:val="32"/>
          <w14:textFill>
            <w14:solidFill>
              <w14:schemeClr w14:val="tx1"/>
            </w14:solidFill>
          </w14:textFill>
        </w:rPr>
      </w:pPr>
    </w:p>
    <w:p w14:paraId="7074E8F2">
      <w:pPr>
        <w:widowControl/>
        <w:jc w:val="left"/>
        <w:rPr>
          <w:rFonts w:ascii="宋体" w:hAnsi="宋体" w:eastAsia="宋体" w:cs="宋体"/>
          <w:color w:val="000000" w:themeColor="text1"/>
          <w:kern w:val="0"/>
          <w:sz w:val="28"/>
          <w:szCs w:val="28"/>
          <w14:textFill>
            <w14:solidFill>
              <w14:schemeClr w14:val="tx1"/>
            </w14:solidFill>
          </w14:textFill>
        </w:rPr>
      </w:pPr>
      <w:r>
        <w:rPr>
          <w:rFonts w:ascii="宋体" w:hAnsi="宋体" w:eastAsia="宋体" w:cs="宋体"/>
          <w:color w:val="000000" w:themeColor="text1"/>
          <w:kern w:val="0"/>
          <w:sz w:val="28"/>
          <w:szCs w:val="28"/>
          <w14:textFill>
            <w14:solidFill>
              <w14:schemeClr w14:val="tx1"/>
            </w14:solidFill>
          </w14:textFill>
        </w:rPr>
        <w:br w:type="page"/>
      </w:r>
    </w:p>
    <w:p w14:paraId="17E960BA">
      <w:pPr>
        <w:spacing w:line="360" w:lineRule="auto"/>
        <w:jc w:val="center"/>
        <w:outlineLvl w:val="1"/>
        <w:rPr>
          <w:rFonts w:ascii="宋体" w:hAnsi="宋体" w:eastAsia="宋体" w:cs="Times New Roman"/>
          <w:b/>
          <w:bCs/>
          <w:color w:val="000000" w:themeColor="text1"/>
          <w:kern w:val="0"/>
          <w:sz w:val="32"/>
          <w:szCs w:val="32"/>
          <w14:textFill>
            <w14:solidFill>
              <w14:schemeClr w14:val="tx1"/>
            </w14:solidFill>
          </w14:textFill>
        </w:rPr>
      </w:pPr>
      <w:bookmarkStart w:id="51" w:name="_Toc5831"/>
      <w:r>
        <w:rPr>
          <w:rFonts w:hint="eastAsia" w:ascii="宋体" w:hAnsi="宋体" w:eastAsia="宋体" w:cs="Times New Roman"/>
          <w:b/>
          <w:bCs/>
          <w:color w:val="000000" w:themeColor="text1"/>
          <w:kern w:val="0"/>
          <w:sz w:val="32"/>
          <w:szCs w:val="32"/>
          <w:lang w:eastAsia="zh-CN"/>
          <w14:textFill>
            <w14:solidFill>
              <w14:schemeClr w14:val="tx1"/>
            </w14:solidFill>
          </w14:textFill>
        </w:rPr>
        <w:t>七</w:t>
      </w:r>
      <w:r>
        <w:rPr>
          <w:rFonts w:hint="eastAsia" w:ascii="宋体" w:hAnsi="宋体" w:eastAsia="宋体" w:cs="Times New Roman"/>
          <w:b/>
          <w:bCs/>
          <w:color w:val="000000" w:themeColor="text1"/>
          <w:kern w:val="0"/>
          <w:sz w:val="32"/>
          <w:szCs w:val="32"/>
          <w14:textFill>
            <w14:solidFill>
              <w14:schemeClr w14:val="tx1"/>
            </w14:solidFill>
          </w14:textFill>
        </w:rPr>
        <w:t>、实施方案（格式自拟）</w:t>
      </w:r>
      <w:bookmarkEnd w:id="51"/>
    </w:p>
    <w:p w14:paraId="4520F88A">
      <w:pPr>
        <w:widowControl/>
        <w:spacing w:line="520" w:lineRule="atLeast"/>
        <w:rPr>
          <w:rFonts w:ascii="Calibri" w:hAnsi="Calibri" w:eastAsia="宋体" w:cs="Times New Roman"/>
          <w:color w:val="000000" w:themeColor="text1"/>
          <w:kern w:val="0"/>
          <w:sz w:val="28"/>
          <w:szCs w:val="28"/>
          <w14:textFill>
            <w14:solidFill>
              <w14:schemeClr w14:val="tx1"/>
            </w14:solidFill>
          </w14:textFill>
        </w:rPr>
      </w:pPr>
    </w:p>
    <w:p w14:paraId="5C88A885">
      <w:pPr>
        <w:widowControl/>
        <w:spacing w:line="520" w:lineRule="exact"/>
        <w:jc w:val="center"/>
        <w:rPr>
          <w:rFonts w:ascii="Calibri" w:hAnsi="Calibri" w:eastAsia="宋体" w:cs="Times New Roman"/>
          <w:color w:val="000000" w:themeColor="text1"/>
          <w:kern w:val="0"/>
          <w:sz w:val="28"/>
          <w:szCs w:val="28"/>
          <w14:textFill>
            <w14:solidFill>
              <w14:schemeClr w14:val="tx1"/>
            </w14:solidFill>
          </w14:textFill>
        </w:rPr>
      </w:pPr>
      <w:r>
        <w:rPr>
          <w:rFonts w:ascii="宋体" w:hAnsi="宋体" w:eastAsia="宋体" w:cs="宋体"/>
          <w:color w:val="000000" w:themeColor="text1"/>
          <w:kern w:val="0"/>
          <w:sz w:val="32"/>
          <w:szCs w:val="32"/>
          <w14:textFill>
            <w14:solidFill>
              <w14:schemeClr w14:val="tx1"/>
            </w14:solidFill>
          </w14:textFill>
        </w:rPr>
        <w:br w:type="page"/>
      </w:r>
      <w:r>
        <w:rPr>
          <w:rFonts w:hint="eastAsia" w:ascii="宋体" w:hAnsi="宋体" w:eastAsia="宋体" w:cs="宋体"/>
          <w:color w:val="000000" w:themeColor="text1"/>
          <w:kern w:val="0"/>
          <w:sz w:val="32"/>
          <w:szCs w:val="32"/>
          <w:lang w:eastAsia="zh-CN"/>
          <w14:textFill>
            <w14:solidFill>
              <w14:schemeClr w14:val="tx1"/>
            </w14:solidFill>
          </w14:textFill>
        </w:rPr>
        <w:t>八</w:t>
      </w:r>
      <w:r>
        <w:rPr>
          <w:rFonts w:hint="eastAsia" w:ascii="宋体" w:hAnsi="宋体" w:eastAsia="宋体" w:cs="Times New Roman"/>
          <w:b/>
          <w:bCs/>
          <w:color w:val="000000" w:themeColor="text1"/>
          <w:kern w:val="0"/>
          <w:sz w:val="32"/>
          <w:szCs w:val="32"/>
          <w14:textFill>
            <w14:solidFill>
              <w14:schemeClr w14:val="tx1"/>
            </w14:solidFill>
          </w14:textFill>
        </w:rPr>
        <w:t>、</w:t>
      </w:r>
      <w:bookmarkEnd w:id="46"/>
      <w:r>
        <w:rPr>
          <w:rFonts w:hint="eastAsia" w:ascii="宋体" w:hAnsi="宋体" w:eastAsia="宋体" w:cs="Times New Roman"/>
          <w:b/>
          <w:bCs/>
          <w:color w:val="000000" w:themeColor="text1"/>
          <w:kern w:val="0"/>
          <w:sz w:val="32"/>
          <w:szCs w:val="32"/>
          <w14:textFill>
            <w14:solidFill>
              <w14:schemeClr w14:val="tx1"/>
            </w14:solidFill>
          </w14:textFill>
        </w:rPr>
        <w:t>无商业贿赂和不正当竞争行为承诺书</w:t>
      </w:r>
    </w:p>
    <w:p w14:paraId="45991A2F">
      <w:pPr>
        <w:widowControl/>
        <w:spacing w:line="56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致：（采购人名称）</w:t>
      </w:r>
    </w:p>
    <w:p w14:paraId="4E4C4F4A">
      <w:pPr>
        <w:widowControl/>
        <w:spacing w:line="50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为进一步规范政府采购行为，营造公平竞争的政府采购市场环境，维护政府采购制度良好声誉，在参与贵单位组织的招标活动中，我方庄重承诺：</w:t>
      </w:r>
    </w:p>
    <w:p w14:paraId="23940B97">
      <w:pPr>
        <w:widowControl/>
        <w:spacing w:line="50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一、依法参与招标活动，遵纪守法，诚信经营，公平竞争。</w:t>
      </w:r>
    </w:p>
    <w:p w14:paraId="490F37D9">
      <w:pPr>
        <w:widowControl/>
        <w:spacing w:line="50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二、不向采购人、采购代理机构和评审专家提供任何形式的商业贿赂，对索取或接受商业贿赂的单位和个人，及时向财政部门和纪检监察机关举报。</w:t>
      </w:r>
    </w:p>
    <w:p w14:paraId="4D162A41">
      <w:pPr>
        <w:widowControl/>
        <w:spacing w:line="50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三、不以提供虚假资质文件等形式参与招标活动，不以虚假材料谋取中标。</w:t>
      </w:r>
    </w:p>
    <w:p w14:paraId="63F31F46">
      <w:pPr>
        <w:widowControl/>
        <w:spacing w:line="50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四、不采取不正当手段诋毁、排挤其它磋商供应商，与其它参与招标活动的磋商供应商保持良性的竞争关系。</w:t>
      </w:r>
    </w:p>
    <w:p w14:paraId="2F6906B3">
      <w:pPr>
        <w:widowControl/>
        <w:spacing w:line="50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五、不与采购人、采购代理机构和评审专家恶意串通，自觉维护政府采购公平竞争的市场秩序。</w:t>
      </w:r>
    </w:p>
    <w:p w14:paraId="72317880">
      <w:pPr>
        <w:widowControl/>
        <w:spacing w:line="50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六、不与其它磋商供应商串通采取围标、陪标等商业欺诈手段谋取中标，积极维护国家利益、社会公共利益和采购人的合法权益。</w:t>
      </w:r>
    </w:p>
    <w:p w14:paraId="1DA16346">
      <w:pPr>
        <w:widowControl/>
        <w:spacing w:line="50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七、严格履行政府采购合同约定义务，不在政府采购合同执行过程中采取降低质量或标准、减少数量、拖延交付时间等方式损害采购人的利益，并自觉承担违约责任。</w:t>
      </w:r>
    </w:p>
    <w:p w14:paraId="5F6D6456">
      <w:pPr>
        <w:widowControl/>
        <w:spacing w:line="500" w:lineRule="exact"/>
        <w:ind w:firstLine="560" w:firstLineChars="200"/>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八、自觉接受并积极配合相关监督部门实施的监督检查，如实反映情况，及时提供有关证明材料。</w:t>
      </w:r>
    </w:p>
    <w:p w14:paraId="5FA1A3A2">
      <w:pPr>
        <w:widowControl/>
        <w:spacing w:line="520" w:lineRule="exact"/>
        <w:rPr>
          <w:rFonts w:ascii="宋体" w:hAnsi="宋体" w:eastAsia="宋体" w:cs="Times New Roman"/>
          <w:color w:val="000000" w:themeColor="text1"/>
          <w:kern w:val="0"/>
          <w:sz w:val="28"/>
          <w:szCs w:val="28"/>
          <w14:textFill>
            <w14:solidFill>
              <w14:schemeClr w14:val="tx1"/>
            </w14:solidFill>
          </w14:textFill>
        </w:rPr>
      </w:pPr>
    </w:p>
    <w:p w14:paraId="2F1CCA14">
      <w:pPr>
        <w:widowControl/>
        <w:spacing w:line="520" w:lineRule="exact"/>
        <w:ind w:firstLine="3220" w:firstLineChars="1150"/>
        <w:rPr>
          <w:rFonts w:ascii="宋体" w:hAnsi="宋体"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法定代表人： （盖章）</w:t>
      </w:r>
    </w:p>
    <w:p w14:paraId="16094C90">
      <w:pPr>
        <w:widowControl/>
        <w:spacing w:line="520" w:lineRule="exact"/>
        <w:rPr>
          <w:rFonts w:ascii="Calibri" w:hAnsi="Calibri" w:eastAsia="宋体" w:cs="Times New Roman"/>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磋商供应商：（全称并加盖公章）</w:t>
      </w:r>
    </w:p>
    <w:p w14:paraId="072B21AF">
      <w:pPr>
        <w:widowControl/>
        <w:spacing w:line="520" w:lineRule="exact"/>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Times New Roman"/>
          <w:color w:val="000000" w:themeColor="text1"/>
          <w:kern w:val="0"/>
          <w:sz w:val="28"/>
          <w:szCs w:val="28"/>
          <w14:textFill>
            <w14:solidFill>
              <w14:schemeClr w14:val="tx1"/>
            </w14:solidFill>
          </w14:textFill>
        </w:rPr>
        <w:t xml:space="preserve">                                  年 月  日</w:t>
      </w:r>
    </w:p>
    <w:p w14:paraId="005592E7">
      <w:pPr>
        <w:widowControl/>
        <w:spacing w:line="520" w:lineRule="exact"/>
        <w:jc w:val="center"/>
        <w:rPr>
          <w:rFonts w:ascii="宋体" w:hAnsi="宋体" w:eastAsia="宋体" w:cs="Times New Roman"/>
          <w:b/>
          <w:bCs/>
          <w:color w:val="000000" w:themeColor="text1"/>
          <w:kern w:val="0"/>
          <w:sz w:val="32"/>
          <w:szCs w:val="32"/>
          <w14:textFill>
            <w14:solidFill>
              <w14:schemeClr w14:val="tx1"/>
            </w14:solidFill>
          </w14:textFill>
        </w:rPr>
      </w:pPr>
    </w:p>
    <w:p w14:paraId="7621629E">
      <w:pPr>
        <w:widowControl/>
        <w:spacing w:line="520" w:lineRule="exact"/>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lang w:eastAsia="zh-CN"/>
          <w14:textFill>
            <w14:solidFill>
              <w14:schemeClr w14:val="tx1"/>
            </w14:solidFill>
          </w14:textFill>
        </w:rPr>
        <w:t>九</w:t>
      </w:r>
      <w:r>
        <w:rPr>
          <w:rFonts w:hint="eastAsia" w:ascii="宋体" w:hAnsi="宋体" w:eastAsia="宋体" w:cs="Times New Roman"/>
          <w:b/>
          <w:bCs/>
          <w:color w:val="000000" w:themeColor="text1"/>
          <w:kern w:val="0"/>
          <w:sz w:val="32"/>
          <w:szCs w:val="32"/>
          <w14:textFill>
            <w14:solidFill>
              <w14:schemeClr w14:val="tx1"/>
            </w14:solidFill>
          </w14:textFill>
        </w:rPr>
        <w:t>、磋商承诺函</w:t>
      </w:r>
    </w:p>
    <w:p w14:paraId="79D596BE">
      <w:pPr>
        <w:widowControl/>
        <w:spacing w:line="600" w:lineRule="exact"/>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致：（采购人）</w:t>
      </w:r>
    </w:p>
    <w:p w14:paraId="188351FC">
      <w:pPr>
        <w:widowControl/>
        <w:spacing w:line="600" w:lineRule="exact"/>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如我单位出现以下情况，并造成采购人经济损失，我单位向采购人缴纳不低于中标价2%的经济补偿，自觉承担违约责任。</w:t>
      </w:r>
    </w:p>
    <w:p w14:paraId="7886BC36">
      <w:pPr>
        <w:widowControl/>
        <w:spacing w:line="600" w:lineRule="exact"/>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一、在中标通知书规定时间内未签订合同;</w:t>
      </w:r>
    </w:p>
    <w:p w14:paraId="43BBA391">
      <w:pPr>
        <w:widowControl/>
        <w:spacing w:line="600" w:lineRule="exact"/>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二、在投标（响应）文件提供虚假材料的；</w:t>
      </w:r>
    </w:p>
    <w:p w14:paraId="048354FD">
      <w:pPr>
        <w:widowControl/>
        <w:spacing w:line="600" w:lineRule="exact"/>
        <w:ind w:firstLine="560" w:firstLineChars="200"/>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三、投标人（供应商）与招标人（采购人）、其他投标人（供应商）或者代理机构恶意串通的；</w:t>
      </w:r>
    </w:p>
    <w:p w14:paraId="1F4E90E7">
      <w:pPr>
        <w:widowControl/>
        <w:spacing w:line="360" w:lineRule="auto"/>
        <w:rPr>
          <w:rFonts w:ascii="宋体" w:hAnsi="宋体" w:eastAsia="宋体" w:cs="宋体"/>
          <w:color w:val="000000" w:themeColor="text1"/>
          <w:kern w:val="0"/>
          <w:sz w:val="28"/>
          <w:szCs w:val="28"/>
          <w14:textFill>
            <w14:solidFill>
              <w14:schemeClr w14:val="tx1"/>
            </w14:solidFill>
          </w14:textFill>
        </w:rPr>
      </w:pPr>
    </w:p>
    <w:p w14:paraId="2768FDE0">
      <w:pPr>
        <w:widowControl/>
        <w:spacing w:line="360" w:lineRule="auto"/>
        <w:rPr>
          <w:rFonts w:ascii="宋体" w:hAnsi="宋体" w:eastAsia="宋体" w:cs="宋体"/>
          <w:color w:val="000000" w:themeColor="text1"/>
          <w:kern w:val="0"/>
          <w:sz w:val="28"/>
          <w:szCs w:val="28"/>
          <w14:textFill>
            <w14:solidFill>
              <w14:schemeClr w14:val="tx1"/>
            </w14:solidFill>
          </w14:textFill>
        </w:rPr>
      </w:pPr>
    </w:p>
    <w:p w14:paraId="7367B960">
      <w:pPr>
        <w:spacing w:line="360" w:lineRule="auto"/>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投标人：（盖章）</w:t>
      </w:r>
    </w:p>
    <w:p w14:paraId="48F6921D">
      <w:pPr>
        <w:spacing w:line="360" w:lineRule="auto"/>
        <w:jc w:val="center"/>
        <w:rPr>
          <w:rFonts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法定代表人： （盖章）</w:t>
      </w:r>
    </w:p>
    <w:p w14:paraId="24BDED11">
      <w:pPr>
        <w:widowControl/>
        <w:jc w:val="center"/>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 xml:space="preserve">                       年月日</w:t>
      </w:r>
    </w:p>
    <w:p w14:paraId="4F31DC32">
      <w:pPr>
        <w:autoSpaceDE w:val="0"/>
        <w:autoSpaceDN w:val="0"/>
        <w:adjustRightInd w:val="0"/>
        <w:spacing w:line="360" w:lineRule="auto"/>
        <w:jc w:val="left"/>
        <w:rPr>
          <w:rFonts w:ascii="宋体" w:hAnsi="宋体" w:eastAsia="宋体" w:cs="宋体"/>
          <w:color w:val="000000" w:themeColor="text1"/>
          <w:kern w:val="0"/>
          <w:sz w:val="18"/>
          <w:szCs w:val="18"/>
          <w14:textFill>
            <w14:solidFill>
              <w14:schemeClr w14:val="tx1"/>
            </w14:solidFill>
          </w14:textFill>
        </w:rPr>
      </w:pPr>
    </w:p>
    <w:p w14:paraId="6CC9F87A">
      <w:pPr>
        <w:autoSpaceDE w:val="0"/>
        <w:autoSpaceDN w:val="0"/>
        <w:adjustRightInd w:val="0"/>
        <w:spacing w:line="360" w:lineRule="auto"/>
        <w:jc w:val="left"/>
        <w:rPr>
          <w:rFonts w:ascii="宋体" w:hAnsi="宋体" w:eastAsia="宋体" w:cs="宋体"/>
          <w:color w:val="000000" w:themeColor="text1"/>
          <w:kern w:val="0"/>
          <w:sz w:val="28"/>
          <w:szCs w:val="28"/>
          <w14:textFill>
            <w14:solidFill>
              <w14:schemeClr w14:val="tx1"/>
            </w14:solidFill>
          </w14:textFill>
        </w:rPr>
      </w:pPr>
    </w:p>
    <w:p w14:paraId="5E221E14">
      <w:pPr>
        <w:autoSpaceDE w:val="0"/>
        <w:autoSpaceDN w:val="0"/>
        <w:adjustRightInd w:val="0"/>
        <w:spacing w:line="360" w:lineRule="auto"/>
        <w:jc w:val="left"/>
        <w:rPr>
          <w:rFonts w:ascii="宋体" w:hAnsi="宋体" w:eastAsia="宋体" w:cs="宋体"/>
          <w:color w:val="000000" w:themeColor="text1"/>
          <w:kern w:val="0"/>
          <w:sz w:val="28"/>
          <w:szCs w:val="28"/>
          <w14:textFill>
            <w14:solidFill>
              <w14:schemeClr w14:val="tx1"/>
            </w14:solidFill>
          </w14:textFill>
        </w:rPr>
      </w:pPr>
    </w:p>
    <w:p w14:paraId="549A7AC5">
      <w:pPr>
        <w:autoSpaceDE w:val="0"/>
        <w:autoSpaceDN w:val="0"/>
        <w:adjustRightInd w:val="0"/>
        <w:spacing w:line="360" w:lineRule="auto"/>
        <w:jc w:val="center"/>
        <w:rPr>
          <w:rFonts w:ascii="宋体" w:hAnsi="宋体" w:eastAsia="宋体" w:cs="宋体"/>
          <w:color w:val="000000" w:themeColor="text1"/>
          <w:kern w:val="0"/>
          <w:sz w:val="28"/>
          <w:szCs w:val="28"/>
          <w14:textFill>
            <w14:solidFill>
              <w14:schemeClr w14:val="tx1"/>
            </w14:solidFill>
          </w14:textFill>
        </w:rPr>
      </w:pPr>
    </w:p>
    <w:p w14:paraId="77F11097">
      <w:pPr>
        <w:autoSpaceDE w:val="0"/>
        <w:autoSpaceDN w:val="0"/>
        <w:adjustRightInd w:val="0"/>
        <w:spacing w:line="360" w:lineRule="auto"/>
        <w:jc w:val="left"/>
        <w:rPr>
          <w:rFonts w:ascii="宋体" w:hAnsi="宋体" w:eastAsia="宋体" w:cs="宋体"/>
          <w:color w:val="000000" w:themeColor="text1"/>
          <w:kern w:val="0"/>
          <w:sz w:val="28"/>
          <w:szCs w:val="28"/>
          <w14:textFill>
            <w14:solidFill>
              <w14:schemeClr w14:val="tx1"/>
            </w14:solidFill>
          </w14:textFill>
        </w:rPr>
      </w:pPr>
    </w:p>
    <w:p w14:paraId="24C73BE6">
      <w:pPr>
        <w:autoSpaceDE w:val="0"/>
        <w:autoSpaceDN w:val="0"/>
        <w:adjustRightInd w:val="0"/>
        <w:spacing w:line="360" w:lineRule="auto"/>
        <w:jc w:val="left"/>
        <w:rPr>
          <w:rFonts w:ascii="宋体" w:hAnsi="宋体" w:eastAsia="宋体" w:cs="宋体"/>
          <w:color w:val="000000" w:themeColor="text1"/>
          <w:kern w:val="0"/>
          <w:sz w:val="28"/>
          <w:szCs w:val="28"/>
          <w14:textFill>
            <w14:solidFill>
              <w14:schemeClr w14:val="tx1"/>
            </w14:solidFill>
          </w14:textFill>
        </w:rPr>
      </w:pPr>
    </w:p>
    <w:p w14:paraId="18DA62E7">
      <w:pPr>
        <w:widowControl/>
        <w:spacing w:line="360" w:lineRule="auto"/>
        <w:rPr>
          <w:rFonts w:ascii="宋体" w:hAnsi="宋体" w:eastAsia="宋体" w:cs="宋体"/>
          <w:color w:val="000000" w:themeColor="text1"/>
          <w:kern w:val="0"/>
          <w:sz w:val="28"/>
          <w:szCs w:val="28"/>
          <w14:textFill>
            <w14:solidFill>
              <w14:schemeClr w14:val="tx1"/>
            </w14:solidFill>
          </w14:textFill>
        </w:rPr>
      </w:pPr>
      <w:bookmarkStart w:id="52" w:name="_Toc448849467"/>
    </w:p>
    <w:p w14:paraId="65A67B1C">
      <w:pPr>
        <w:spacing w:line="520" w:lineRule="exact"/>
        <w:rPr>
          <w:rFonts w:ascii="仿宋_GB2312" w:hAnsi="宋体" w:eastAsia="仿宋_GB2312" w:cs="Times New Roman"/>
          <w:color w:val="000000" w:themeColor="text1"/>
          <w:kern w:val="0"/>
          <w:sz w:val="24"/>
          <w:szCs w:val="24"/>
          <w14:textFill>
            <w14:solidFill>
              <w14:schemeClr w14:val="tx1"/>
            </w14:solidFill>
          </w14:textFill>
        </w:rPr>
      </w:pPr>
    </w:p>
    <w:p w14:paraId="37CF8A57">
      <w:pPr>
        <w:widowControl/>
        <w:spacing w:line="360" w:lineRule="auto"/>
        <w:rPr>
          <w:rFonts w:ascii="Times New Roman" w:hAnsi="Times New Roman" w:eastAsia="宋体" w:cs="Times New Roman"/>
          <w:kern w:val="0"/>
          <w:sz w:val="20"/>
          <w:szCs w:val="24"/>
        </w:rPr>
      </w:pPr>
    </w:p>
    <w:p w14:paraId="111AF307">
      <w:pPr>
        <w:pStyle w:val="6"/>
      </w:pPr>
    </w:p>
    <w:p w14:paraId="5CE44422">
      <w:pPr>
        <w:widowControl/>
        <w:spacing w:line="360" w:lineRule="auto"/>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十、</w:t>
      </w:r>
      <w:bookmarkEnd w:id="52"/>
      <w:r>
        <w:rPr>
          <w:rFonts w:hint="eastAsia" w:ascii="宋体" w:hAnsi="宋体" w:eastAsia="宋体" w:cs="Times New Roman"/>
          <w:b/>
          <w:bCs/>
          <w:color w:val="000000" w:themeColor="text1"/>
          <w:kern w:val="0"/>
          <w:sz w:val="32"/>
          <w:szCs w:val="32"/>
          <w14:textFill>
            <w14:solidFill>
              <w14:schemeClr w14:val="tx1"/>
            </w14:solidFill>
          </w14:textFill>
        </w:rPr>
        <w:t>信用查询</w:t>
      </w:r>
    </w:p>
    <w:p w14:paraId="7D605D1C">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p>
    <w:p w14:paraId="5F79ADA8">
      <w:pPr>
        <w:widowControl/>
        <w:spacing w:line="360" w:lineRule="auto"/>
        <w:jc w:val="center"/>
        <w:rPr>
          <w:rFonts w:ascii="宋体" w:hAnsi="宋体" w:eastAsia="宋体" w:cs="Times New Roman"/>
          <w:color w:val="000000" w:themeColor="text1"/>
          <w:kern w:val="0"/>
          <w:sz w:val="28"/>
          <w:szCs w:val="28"/>
          <w14:textFill>
            <w14:solidFill>
              <w14:schemeClr w14:val="tx1"/>
            </w14:solidFill>
          </w14:textFill>
        </w:rPr>
      </w:pPr>
    </w:p>
    <w:p w14:paraId="0A45F0C8">
      <w:pPr>
        <w:rPr>
          <w:rFonts w:ascii="Calibri" w:hAnsi="Calibri" w:eastAsia="宋体" w:cs="Times New Roman"/>
          <w:color w:val="000000" w:themeColor="text1"/>
          <w14:textFill>
            <w14:solidFill>
              <w14:schemeClr w14:val="tx1"/>
            </w14:solidFill>
          </w14:textFill>
        </w:rPr>
      </w:pPr>
    </w:p>
    <w:p w14:paraId="1339D1A6">
      <w:pPr>
        <w:rPr>
          <w:rFonts w:ascii="Calibri" w:hAnsi="Calibri" w:eastAsia="宋体" w:cs="Times New Roman"/>
          <w:color w:val="000000" w:themeColor="text1"/>
          <w14:textFill>
            <w14:solidFill>
              <w14:schemeClr w14:val="tx1"/>
            </w14:solidFill>
          </w14:textFill>
        </w:rPr>
      </w:pPr>
    </w:p>
    <w:p w14:paraId="34926F92">
      <w:pPr>
        <w:widowControl/>
        <w:spacing w:line="520" w:lineRule="exact"/>
        <w:jc w:val="center"/>
        <w:rPr>
          <w:rFonts w:ascii="宋体" w:hAnsi="宋体" w:eastAsia="宋体" w:cs="Times New Roman"/>
          <w:b/>
          <w:bCs/>
          <w:color w:val="000000" w:themeColor="text1"/>
          <w:kern w:val="0"/>
          <w:sz w:val="32"/>
          <w:szCs w:val="32"/>
          <w14:textFill>
            <w14:solidFill>
              <w14:schemeClr w14:val="tx1"/>
            </w14:solidFill>
          </w14:textFill>
        </w:rPr>
      </w:pPr>
      <w:r>
        <w:rPr>
          <w:rFonts w:ascii="Calibri" w:hAnsi="Calibri" w:eastAsia="宋体" w:cs="Times New Roman"/>
          <w:color w:val="000000" w:themeColor="text1"/>
          <w14:textFill>
            <w14:solidFill>
              <w14:schemeClr w14:val="tx1"/>
            </w14:solidFill>
          </w14:textFill>
        </w:rPr>
        <w:br w:type="page"/>
      </w:r>
      <w:r>
        <w:rPr>
          <w:rFonts w:ascii="宋体" w:hAnsi="宋体" w:eastAsia="宋体" w:cs="Times New Roman"/>
          <w:b/>
          <w:bCs/>
          <w:color w:val="000000" w:themeColor="text1"/>
          <w:kern w:val="0"/>
          <w:sz w:val="32"/>
          <w:szCs w:val="32"/>
          <w14:textFill>
            <w14:solidFill>
              <w14:schemeClr w14:val="tx1"/>
            </w14:solidFill>
          </w14:textFill>
        </w:rPr>
        <w:t>十</w:t>
      </w:r>
      <w:r>
        <w:rPr>
          <w:rFonts w:hint="eastAsia" w:ascii="宋体" w:hAnsi="宋体" w:eastAsia="宋体" w:cs="Times New Roman"/>
          <w:b/>
          <w:bCs/>
          <w:color w:val="000000" w:themeColor="text1"/>
          <w:kern w:val="0"/>
          <w:sz w:val="32"/>
          <w:szCs w:val="32"/>
          <w:lang w:eastAsia="zh-CN"/>
          <w14:textFill>
            <w14:solidFill>
              <w14:schemeClr w14:val="tx1"/>
            </w14:solidFill>
          </w14:textFill>
        </w:rPr>
        <w:t>一</w:t>
      </w:r>
      <w:r>
        <w:rPr>
          <w:rFonts w:ascii="宋体" w:hAnsi="宋体" w:eastAsia="宋体" w:cs="Times New Roman"/>
          <w:b/>
          <w:bCs/>
          <w:color w:val="000000" w:themeColor="text1"/>
          <w:kern w:val="0"/>
          <w:sz w:val="32"/>
          <w:szCs w:val="32"/>
          <w14:textFill>
            <w14:solidFill>
              <w14:schemeClr w14:val="tx1"/>
            </w14:solidFill>
          </w14:textFill>
        </w:rPr>
        <w:t>、</w:t>
      </w:r>
      <w:r>
        <w:rPr>
          <w:rFonts w:hint="eastAsia" w:ascii="宋体" w:hAnsi="宋体" w:eastAsia="宋体" w:cs="Times New Roman"/>
          <w:b/>
          <w:bCs/>
          <w:color w:val="000000" w:themeColor="text1"/>
          <w:kern w:val="0"/>
          <w:sz w:val="32"/>
          <w:szCs w:val="32"/>
          <w14:textFill>
            <w14:solidFill>
              <w14:schemeClr w14:val="tx1"/>
            </w14:solidFill>
          </w14:textFill>
        </w:rPr>
        <w:t>非联合体承诺（格式自拟）</w:t>
      </w:r>
    </w:p>
    <w:p w14:paraId="14EED1C7">
      <w:pPr>
        <w:widowControl/>
        <w:spacing w:before="100" w:beforeAutospacing="1" w:after="100" w:afterAutospacing="1"/>
        <w:jc w:val="left"/>
        <w:rPr>
          <w:rFonts w:ascii="宋体" w:hAnsi="宋体" w:eastAsia="宋体" w:cs="Times New Roman"/>
          <w:color w:val="000000" w:themeColor="text1"/>
          <w:kern w:val="0"/>
          <w:sz w:val="24"/>
          <w:szCs w:val="24"/>
          <w14:textFill>
            <w14:solidFill>
              <w14:schemeClr w14:val="tx1"/>
            </w14:solidFill>
          </w14:textFill>
        </w:rPr>
      </w:pPr>
    </w:p>
    <w:p w14:paraId="2AAF7776">
      <w:pPr>
        <w:rPr>
          <w:rFonts w:ascii="宋体" w:hAnsi="Courier New" w:eastAsia="华文宋体" w:cs="Times New Roman"/>
          <w:color w:val="000000" w:themeColor="text1"/>
          <w:kern w:val="0"/>
          <w:sz w:val="28"/>
          <w:szCs w:val="28"/>
          <w14:textFill>
            <w14:solidFill>
              <w14:schemeClr w14:val="tx1"/>
            </w14:solidFill>
          </w14:textFill>
        </w:rPr>
      </w:pPr>
    </w:p>
    <w:p w14:paraId="5E00EC1A">
      <w:pPr>
        <w:rPr>
          <w:rFonts w:ascii="宋体" w:hAnsi="Courier New" w:eastAsia="华文宋体" w:cs="Times New Roman"/>
          <w:color w:val="000000" w:themeColor="text1"/>
          <w:kern w:val="0"/>
          <w:sz w:val="28"/>
          <w:szCs w:val="28"/>
          <w14:textFill>
            <w14:solidFill>
              <w14:schemeClr w14:val="tx1"/>
            </w14:solidFill>
          </w14:textFill>
        </w:rPr>
      </w:pPr>
    </w:p>
    <w:p w14:paraId="49C3DBAC">
      <w:pPr>
        <w:rPr>
          <w:rFonts w:ascii="宋体" w:hAnsi="Courier New" w:eastAsia="华文宋体" w:cs="Times New Roman"/>
          <w:color w:val="000000" w:themeColor="text1"/>
          <w:kern w:val="0"/>
          <w:sz w:val="28"/>
          <w:szCs w:val="28"/>
          <w14:textFill>
            <w14:solidFill>
              <w14:schemeClr w14:val="tx1"/>
            </w14:solidFill>
          </w14:textFill>
        </w:rPr>
      </w:pPr>
    </w:p>
    <w:p w14:paraId="38486468">
      <w:pPr>
        <w:rPr>
          <w:rFonts w:ascii="宋体" w:hAnsi="Courier New" w:eastAsia="华文宋体" w:cs="Times New Roman"/>
          <w:color w:val="000000" w:themeColor="text1"/>
          <w:kern w:val="0"/>
          <w:sz w:val="28"/>
          <w:szCs w:val="28"/>
          <w14:textFill>
            <w14:solidFill>
              <w14:schemeClr w14:val="tx1"/>
            </w14:solidFill>
          </w14:textFill>
        </w:rPr>
      </w:pPr>
    </w:p>
    <w:p w14:paraId="2107FC6C">
      <w:pPr>
        <w:rPr>
          <w:rFonts w:ascii="宋体" w:hAnsi="Courier New" w:eastAsia="华文宋体" w:cs="Times New Roman"/>
          <w:color w:val="000000" w:themeColor="text1"/>
          <w:kern w:val="0"/>
          <w:sz w:val="28"/>
          <w:szCs w:val="28"/>
          <w14:textFill>
            <w14:solidFill>
              <w14:schemeClr w14:val="tx1"/>
            </w14:solidFill>
          </w14:textFill>
        </w:rPr>
      </w:pPr>
    </w:p>
    <w:p w14:paraId="3F3D8F35">
      <w:pPr>
        <w:rPr>
          <w:rFonts w:ascii="宋体" w:hAnsi="Courier New" w:eastAsia="华文宋体" w:cs="Times New Roman"/>
          <w:color w:val="000000" w:themeColor="text1"/>
          <w:kern w:val="0"/>
          <w:sz w:val="28"/>
          <w:szCs w:val="28"/>
          <w14:textFill>
            <w14:solidFill>
              <w14:schemeClr w14:val="tx1"/>
            </w14:solidFill>
          </w14:textFill>
        </w:rPr>
      </w:pPr>
    </w:p>
    <w:p w14:paraId="37AA7320">
      <w:pPr>
        <w:rPr>
          <w:rFonts w:ascii="宋体" w:hAnsi="Courier New" w:eastAsia="华文宋体" w:cs="Times New Roman"/>
          <w:color w:val="000000" w:themeColor="text1"/>
          <w:kern w:val="0"/>
          <w:sz w:val="28"/>
          <w:szCs w:val="28"/>
          <w14:textFill>
            <w14:solidFill>
              <w14:schemeClr w14:val="tx1"/>
            </w14:solidFill>
          </w14:textFill>
        </w:rPr>
      </w:pPr>
    </w:p>
    <w:p w14:paraId="10FDBFE5">
      <w:pPr>
        <w:rPr>
          <w:rFonts w:ascii="宋体" w:hAnsi="Courier New" w:eastAsia="华文宋体" w:cs="Times New Roman"/>
          <w:color w:val="000000" w:themeColor="text1"/>
          <w:kern w:val="0"/>
          <w:sz w:val="28"/>
          <w:szCs w:val="28"/>
          <w14:textFill>
            <w14:solidFill>
              <w14:schemeClr w14:val="tx1"/>
            </w14:solidFill>
          </w14:textFill>
        </w:rPr>
      </w:pPr>
    </w:p>
    <w:p w14:paraId="5012DC00">
      <w:pPr>
        <w:rPr>
          <w:rFonts w:ascii="宋体" w:hAnsi="Courier New" w:eastAsia="华文宋体" w:cs="Times New Roman"/>
          <w:color w:val="000000" w:themeColor="text1"/>
          <w:kern w:val="0"/>
          <w:sz w:val="28"/>
          <w:szCs w:val="28"/>
          <w14:textFill>
            <w14:solidFill>
              <w14:schemeClr w14:val="tx1"/>
            </w14:solidFill>
          </w14:textFill>
        </w:rPr>
      </w:pPr>
    </w:p>
    <w:p w14:paraId="44359A0C">
      <w:pPr>
        <w:rPr>
          <w:rFonts w:ascii="宋体" w:hAnsi="Courier New" w:eastAsia="华文宋体" w:cs="Times New Roman"/>
          <w:color w:val="000000" w:themeColor="text1"/>
          <w:kern w:val="0"/>
          <w:sz w:val="28"/>
          <w:szCs w:val="28"/>
          <w14:textFill>
            <w14:solidFill>
              <w14:schemeClr w14:val="tx1"/>
            </w14:solidFill>
          </w14:textFill>
        </w:rPr>
      </w:pPr>
    </w:p>
    <w:p w14:paraId="3E4FC378">
      <w:pPr>
        <w:rPr>
          <w:rFonts w:ascii="宋体" w:hAnsi="Courier New" w:eastAsia="华文宋体" w:cs="Times New Roman"/>
          <w:color w:val="000000" w:themeColor="text1"/>
          <w:kern w:val="0"/>
          <w:sz w:val="28"/>
          <w:szCs w:val="28"/>
          <w14:textFill>
            <w14:solidFill>
              <w14:schemeClr w14:val="tx1"/>
            </w14:solidFill>
          </w14:textFill>
        </w:rPr>
      </w:pPr>
    </w:p>
    <w:p w14:paraId="4818758E">
      <w:pPr>
        <w:rPr>
          <w:rFonts w:ascii="宋体" w:hAnsi="Courier New" w:eastAsia="华文宋体" w:cs="Times New Roman"/>
          <w:color w:val="000000" w:themeColor="text1"/>
          <w:kern w:val="0"/>
          <w:sz w:val="28"/>
          <w:szCs w:val="28"/>
          <w14:textFill>
            <w14:solidFill>
              <w14:schemeClr w14:val="tx1"/>
            </w14:solidFill>
          </w14:textFill>
        </w:rPr>
      </w:pPr>
    </w:p>
    <w:p w14:paraId="289CD98A">
      <w:pPr>
        <w:rPr>
          <w:rFonts w:ascii="宋体" w:hAnsi="Courier New" w:eastAsia="华文宋体" w:cs="Times New Roman"/>
          <w:color w:val="000000" w:themeColor="text1"/>
          <w:kern w:val="0"/>
          <w:sz w:val="28"/>
          <w:szCs w:val="28"/>
          <w14:textFill>
            <w14:solidFill>
              <w14:schemeClr w14:val="tx1"/>
            </w14:solidFill>
          </w14:textFill>
        </w:rPr>
      </w:pPr>
    </w:p>
    <w:p w14:paraId="5A6CF4F0">
      <w:pPr>
        <w:rPr>
          <w:rFonts w:ascii="宋体" w:hAnsi="Courier New" w:eastAsia="华文宋体" w:cs="Times New Roman"/>
          <w:color w:val="000000" w:themeColor="text1"/>
          <w:kern w:val="0"/>
          <w:sz w:val="28"/>
          <w:szCs w:val="28"/>
          <w14:textFill>
            <w14:solidFill>
              <w14:schemeClr w14:val="tx1"/>
            </w14:solidFill>
          </w14:textFill>
        </w:rPr>
      </w:pPr>
    </w:p>
    <w:p w14:paraId="1B8F763B">
      <w:pPr>
        <w:rPr>
          <w:rFonts w:ascii="宋体" w:hAnsi="Courier New" w:eastAsia="华文宋体" w:cs="Times New Roman"/>
          <w:color w:val="000000" w:themeColor="text1"/>
          <w:kern w:val="0"/>
          <w:sz w:val="28"/>
          <w:szCs w:val="28"/>
          <w14:textFill>
            <w14:solidFill>
              <w14:schemeClr w14:val="tx1"/>
            </w14:solidFill>
          </w14:textFill>
        </w:rPr>
      </w:pPr>
    </w:p>
    <w:p w14:paraId="00A88BE2">
      <w:pPr>
        <w:rPr>
          <w:rFonts w:ascii="宋体" w:hAnsi="Courier New" w:eastAsia="华文宋体" w:cs="Times New Roman"/>
          <w:color w:val="000000" w:themeColor="text1"/>
          <w:kern w:val="0"/>
          <w:sz w:val="28"/>
          <w:szCs w:val="28"/>
          <w14:textFill>
            <w14:solidFill>
              <w14:schemeClr w14:val="tx1"/>
            </w14:solidFill>
          </w14:textFill>
        </w:rPr>
      </w:pPr>
    </w:p>
    <w:p w14:paraId="0C06B979">
      <w:pPr>
        <w:pStyle w:val="6"/>
      </w:pPr>
    </w:p>
    <w:p w14:paraId="7DEA46C2">
      <w:pPr>
        <w:rPr>
          <w:rFonts w:ascii="宋体" w:hAnsi="Courier New" w:eastAsia="华文宋体" w:cs="Times New Roman"/>
          <w:color w:val="000000" w:themeColor="text1"/>
          <w:kern w:val="0"/>
          <w:sz w:val="28"/>
          <w:szCs w:val="28"/>
          <w14:textFill>
            <w14:solidFill>
              <w14:schemeClr w14:val="tx1"/>
            </w14:solidFill>
          </w14:textFill>
        </w:rPr>
      </w:pPr>
    </w:p>
    <w:p w14:paraId="3249459E">
      <w:pPr>
        <w:rPr>
          <w:rFonts w:ascii="宋体" w:hAnsi="Courier New" w:eastAsia="华文宋体" w:cs="Times New Roman"/>
          <w:color w:val="000000" w:themeColor="text1"/>
          <w:kern w:val="0"/>
          <w:sz w:val="28"/>
          <w:szCs w:val="28"/>
          <w14:textFill>
            <w14:solidFill>
              <w14:schemeClr w14:val="tx1"/>
            </w14:solidFill>
          </w14:textFill>
        </w:rPr>
      </w:pPr>
    </w:p>
    <w:p w14:paraId="3B73230D">
      <w:pPr>
        <w:rPr>
          <w:rFonts w:ascii="宋体" w:hAnsi="Courier New" w:eastAsia="华文宋体" w:cs="Times New Roman"/>
          <w:color w:val="000000" w:themeColor="text1"/>
          <w:kern w:val="0"/>
          <w:sz w:val="28"/>
          <w:szCs w:val="28"/>
          <w14:textFill>
            <w14:solidFill>
              <w14:schemeClr w14:val="tx1"/>
            </w14:solidFill>
          </w14:textFill>
        </w:rPr>
      </w:pPr>
    </w:p>
    <w:p w14:paraId="0D04639B">
      <w:pPr>
        <w:widowControl/>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十</w:t>
      </w:r>
      <w:r>
        <w:rPr>
          <w:rFonts w:hint="eastAsia" w:ascii="宋体" w:hAnsi="宋体" w:eastAsia="宋体" w:cs="Times New Roman"/>
          <w:b/>
          <w:bCs/>
          <w:color w:val="000000" w:themeColor="text1"/>
          <w:kern w:val="0"/>
          <w:sz w:val="32"/>
          <w:szCs w:val="32"/>
          <w:lang w:eastAsia="zh-CN"/>
          <w14:textFill>
            <w14:solidFill>
              <w14:schemeClr w14:val="tx1"/>
            </w14:solidFill>
          </w14:textFill>
        </w:rPr>
        <w:t>二</w:t>
      </w:r>
      <w:r>
        <w:rPr>
          <w:rFonts w:hint="eastAsia" w:ascii="宋体" w:hAnsi="宋体" w:eastAsia="宋体" w:cs="Times New Roman"/>
          <w:b/>
          <w:bCs/>
          <w:color w:val="000000" w:themeColor="text1"/>
          <w:kern w:val="0"/>
          <w:sz w:val="32"/>
          <w:szCs w:val="32"/>
          <w14:textFill>
            <w14:solidFill>
              <w14:schemeClr w14:val="tx1"/>
            </w14:solidFill>
          </w14:textFill>
        </w:rPr>
        <w:t>、投标供应商资格声明函</w:t>
      </w:r>
    </w:p>
    <w:p w14:paraId="74014281">
      <w:pPr>
        <w:widowControl/>
        <w:jc w:val="center"/>
        <w:rPr>
          <w:rFonts w:ascii="宋体" w:hAnsi="宋体" w:eastAsia="宋体" w:cs="Times New Roman"/>
          <w:b/>
          <w:bCs/>
          <w:color w:val="000000" w:themeColor="text1"/>
          <w:kern w:val="0"/>
          <w:sz w:val="32"/>
          <w:szCs w:val="32"/>
          <w14:textFill>
            <w14:solidFill>
              <w14:schemeClr w14:val="tx1"/>
            </w14:solidFill>
          </w14:textFill>
        </w:rPr>
      </w:pPr>
    </w:p>
    <w:p w14:paraId="2453908D">
      <w:pPr>
        <w:spacing w:line="600" w:lineRule="exact"/>
        <w:ind w:firstLine="560" w:firstLineChars="200"/>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致：（采购人名称）</w:t>
      </w:r>
    </w:p>
    <w:p w14:paraId="351E5768">
      <w:pPr>
        <w:spacing w:line="600" w:lineRule="exact"/>
        <w:ind w:firstLine="560" w:firstLineChars="200"/>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我方在此声明，我方具备并满足《中华人民共和国政府采购法》二十二条及实施条例第十七条所规定的投标供应商的条件：</w:t>
      </w:r>
    </w:p>
    <w:p w14:paraId="18B9EAB3">
      <w:pPr>
        <w:spacing w:line="600" w:lineRule="exact"/>
        <w:ind w:firstLine="560" w:firstLineChars="200"/>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（1）具有独立承担民事责任的能力；</w:t>
      </w:r>
    </w:p>
    <w:p w14:paraId="2412D40A">
      <w:pPr>
        <w:spacing w:line="600" w:lineRule="exact"/>
        <w:ind w:firstLine="560" w:firstLineChars="200"/>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（2）具有良好的商业信誉和健全的财务会计制度；</w:t>
      </w:r>
    </w:p>
    <w:p w14:paraId="7AD18F8A">
      <w:pPr>
        <w:spacing w:line="600" w:lineRule="exact"/>
        <w:ind w:firstLine="560" w:firstLineChars="200"/>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（3）具有履行合同所必需的设备和专业技术能力；</w:t>
      </w:r>
    </w:p>
    <w:p w14:paraId="43013718">
      <w:pPr>
        <w:spacing w:line="600" w:lineRule="exact"/>
        <w:ind w:firstLine="560" w:firstLineChars="200"/>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（4）有依法缴纳税收和社会保障资金的良好记录；</w:t>
      </w:r>
    </w:p>
    <w:p w14:paraId="3DDCCECC">
      <w:pPr>
        <w:spacing w:line="600" w:lineRule="exact"/>
        <w:ind w:firstLine="560" w:firstLineChars="200"/>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（5）参加本次政府采购活动前三年内，在经营活动中没有重大违法记录。</w:t>
      </w:r>
    </w:p>
    <w:p w14:paraId="48C77AE2">
      <w:pPr>
        <w:spacing w:line="360" w:lineRule="auto"/>
        <w:rPr>
          <w:rFonts w:ascii="宋体" w:hAnsi="宋体" w:eastAsia="宋体" w:cs="Times New Roman"/>
          <w:color w:val="000000" w:themeColor="text1"/>
          <w:sz w:val="28"/>
          <w14:textFill>
            <w14:solidFill>
              <w14:schemeClr w14:val="tx1"/>
            </w14:solidFill>
          </w14:textFill>
        </w:rPr>
      </w:pPr>
    </w:p>
    <w:p w14:paraId="3E7A141A">
      <w:pPr>
        <w:rPr>
          <w:rFonts w:ascii="宋体" w:hAnsi="宋体" w:eastAsia="宋体" w:cs="Times New Roman"/>
          <w:color w:val="000000" w:themeColor="text1"/>
          <w:sz w:val="28"/>
          <w14:textFill>
            <w14:solidFill>
              <w14:schemeClr w14:val="tx1"/>
            </w14:solidFill>
          </w14:textFill>
        </w:rPr>
      </w:pPr>
    </w:p>
    <w:p w14:paraId="2C7DD0EB">
      <w:pPr>
        <w:wordWrap w:val="0"/>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法定代表人：（</w:t>
      </w:r>
      <w:r>
        <w:rPr>
          <w:rFonts w:hint="eastAsia" w:ascii="宋体" w:hAnsi="宋体" w:eastAsia="宋体" w:cs="Times New Roman"/>
          <w:color w:val="000000" w:themeColor="text1"/>
          <w:kern w:val="0"/>
          <w:sz w:val="28"/>
          <w:szCs w:val="28"/>
          <w14:textFill>
            <w14:solidFill>
              <w14:schemeClr w14:val="tx1"/>
            </w14:solidFill>
          </w14:textFill>
        </w:rPr>
        <w:t>盖章</w:t>
      </w:r>
      <w:r>
        <w:rPr>
          <w:rFonts w:hint="eastAsia" w:ascii="宋体" w:hAnsi="宋体" w:eastAsia="宋体" w:cs="Times New Roman"/>
          <w:color w:val="000000" w:themeColor="text1"/>
          <w:sz w:val="28"/>
          <w14:textFill>
            <w14:solidFill>
              <w14:schemeClr w14:val="tx1"/>
            </w14:solidFill>
          </w14:textFill>
        </w:rPr>
        <w:t>）</w:t>
      </w:r>
    </w:p>
    <w:p w14:paraId="76515338">
      <w:pPr>
        <w:jc w:val="right"/>
        <w:rPr>
          <w:rFonts w:ascii="宋体" w:hAnsi="宋体" w:eastAsia="宋体" w:cs="Times New Roman"/>
          <w:color w:val="000000" w:themeColor="text1"/>
          <w:sz w:val="28"/>
          <w14:textFill>
            <w14:solidFill>
              <w14:schemeClr w14:val="tx1"/>
            </w14:solidFill>
          </w14:textFill>
        </w:rPr>
      </w:pPr>
    </w:p>
    <w:p w14:paraId="43698A32">
      <w:pPr>
        <w:jc w:val="right"/>
        <w:rPr>
          <w:rFonts w:ascii="宋体" w:hAnsi="宋体" w:eastAsia="宋体" w:cs="Times New Roman"/>
          <w:color w:val="000000" w:themeColor="text1"/>
          <w:sz w:val="28"/>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投标供应商：（盖章）</w:t>
      </w:r>
    </w:p>
    <w:p w14:paraId="46582D97">
      <w:pPr>
        <w:widowControl/>
        <w:jc w:val="right"/>
        <w:rPr>
          <w:rFonts w:ascii="宋体" w:hAnsi="宋体" w:eastAsia="宋体" w:cs="Times New Roman"/>
          <w:color w:val="000000" w:themeColor="text1"/>
          <w:sz w:val="28"/>
          <w14:textFill>
            <w14:solidFill>
              <w14:schemeClr w14:val="tx1"/>
            </w14:solidFill>
          </w14:textFill>
        </w:rPr>
      </w:pPr>
    </w:p>
    <w:p w14:paraId="5820E8E4">
      <w:pPr>
        <w:widowControl/>
        <w:spacing w:line="520" w:lineRule="atLeast"/>
        <w:jc w:val="right"/>
        <w:rPr>
          <w:rFonts w:ascii="Calibri" w:hAnsi="Calibri"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sz w:val="28"/>
          <w14:textFill>
            <w14:solidFill>
              <w14:schemeClr w14:val="tx1"/>
            </w14:solidFill>
          </w14:textFill>
        </w:rPr>
        <w:t>年  月  日</w:t>
      </w:r>
    </w:p>
    <w:p w14:paraId="4E052D83">
      <w:pPr>
        <w:rPr>
          <w:rFonts w:ascii="宋体" w:hAnsi="Courier New" w:eastAsia="华文宋体" w:cs="Times New Roman"/>
          <w:color w:val="000000" w:themeColor="text1"/>
          <w:kern w:val="0"/>
          <w:sz w:val="28"/>
          <w:szCs w:val="28"/>
          <w14:textFill>
            <w14:solidFill>
              <w14:schemeClr w14:val="tx1"/>
            </w14:solidFill>
          </w14:textFill>
        </w:rPr>
      </w:pPr>
    </w:p>
    <w:p w14:paraId="272B17F7">
      <w:pPr>
        <w:spacing w:line="520" w:lineRule="exact"/>
        <w:rPr>
          <w:rFonts w:ascii="宋体" w:hAnsi="宋体" w:eastAsia="仿宋_GB2312" w:cs="宋体"/>
          <w:bCs/>
          <w:color w:val="000000" w:themeColor="text1"/>
          <w:kern w:val="0"/>
          <w:sz w:val="28"/>
          <w:szCs w:val="28"/>
          <w14:textFill>
            <w14:solidFill>
              <w14:schemeClr w14:val="tx1"/>
            </w14:solidFill>
          </w14:textFill>
        </w:rPr>
      </w:pPr>
    </w:p>
    <w:p w14:paraId="2CE48745">
      <w:pPr>
        <w:rPr>
          <w:rFonts w:ascii="Calibri" w:hAnsi="Calibri" w:eastAsia="宋体" w:cs="Times New Roman"/>
          <w:color w:val="000000" w:themeColor="text1"/>
          <w14:textFill>
            <w14:solidFill>
              <w14:schemeClr w14:val="tx1"/>
            </w14:solidFill>
          </w14:textFill>
        </w:rPr>
      </w:pPr>
    </w:p>
    <w:p w14:paraId="294B13A6">
      <w:pPr>
        <w:pStyle w:val="2"/>
        <w:rPr>
          <w:rFonts w:ascii="Calibri" w:hAnsi="Calibri" w:eastAsia="宋体"/>
          <w:color w:val="000000" w:themeColor="text1"/>
          <w14:textFill>
            <w14:solidFill>
              <w14:schemeClr w14:val="tx1"/>
            </w14:solidFill>
          </w14:textFill>
        </w:rPr>
      </w:pPr>
    </w:p>
    <w:p w14:paraId="2C7D9AF8">
      <w:pPr>
        <w:pStyle w:val="10"/>
        <w:rPr>
          <w:rFonts w:ascii="Calibri" w:hAnsi="Calibri"/>
          <w:color w:val="000000" w:themeColor="text1"/>
          <w14:textFill>
            <w14:solidFill>
              <w14:schemeClr w14:val="tx1"/>
            </w14:solidFill>
          </w14:textFill>
        </w:rPr>
      </w:pPr>
    </w:p>
    <w:p w14:paraId="16F947E6">
      <w:pPr>
        <w:widowControl/>
        <w:jc w:val="center"/>
        <w:rPr>
          <w:rFonts w:ascii="宋体" w:hAnsi="宋体" w:eastAsia="宋体" w:cs="Times New Roman"/>
          <w:b/>
          <w:bCs/>
          <w:color w:val="000000" w:themeColor="text1"/>
          <w:kern w:val="0"/>
          <w:sz w:val="32"/>
          <w:szCs w:val="32"/>
          <w14:textFill>
            <w14:solidFill>
              <w14:schemeClr w14:val="tx1"/>
            </w14:solidFill>
          </w14:textFill>
        </w:rPr>
      </w:pPr>
      <w:r>
        <w:rPr>
          <w:rFonts w:hint="eastAsia" w:ascii="宋体" w:hAnsi="宋体" w:eastAsia="宋体" w:cs="Times New Roman"/>
          <w:b/>
          <w:bCs/>
          <w:color w:val="000000" w:themeColor="text1"/>
          <w:kern w:val="0"/>
          <w:sz w:val="32"/>
          <w:szCs w:val="32"/>
          <w14:textFill>
            <w14:solidFill>
              <w14:schemeClr w14:val="tx1"/>
            </w14:solidFill>
          </w14:textFill>
        </w:rPr>
        <w:t>十</w:t>
      </w:r>
      <w:r>
        <w:rPr>
          <w:rFonts w:hint="eastAsia" w:ascii="宋体" w:hAnsi="宋体" w:eastAsia="宋体" w:cs="Times New Roman"/>
          <w:b/>
          <w:bCs/>
          <w:color w:val="000000" w:themeColor="text1"/>
          <w:kern w:val="0"/>
          <w:sz w:val="32"/>
          <w:szCs w:val="32"/>
          <w:lang w:eastAsia="zh-CN"/>
          <w14:textFill>
            <w14:solidFill>
              <w14:schemeClr w14:val="tx1"/>
            </w14:solidFill>
          </w14:textFill>
        </w:rPr>
        <w:t>三</w:t>
      </w:r>
      <w:r>
        <w:rPr>
          <w:rFonts w:hint="eastAsia" w:ascii="宋体" w:hAnsi="宋体" w:eastAsia="宋体" w:cs="Times New Roman"/>
          <w:b/>
          <w:bCs/>
          <w:color w:val="000000" w:themeColor="text1"/>
          <w:kern w:val="0"/>
          <w:sz w:val="32"/>
          <w:szCs w:val="32"/>
          <w14:textFill>
            <w14:solidFill>
              <w14:schemeClr w14:val="tx1"/>
            </w14:solidFill>
          </w14:textFill>
        </w:rPr>
        <w:t>、其他资料</w:t>
      </w:r>
    </w:p>
    <w:p w14:paraId="61CA7B2F">
      <w:pPr>
        <w:pStyle w:val="5"/>
      </w:pPr>
    </w:p>
    <w:p w14:paraId="02D8E2CC">
      <w:pPr>
        <w:pStyle w:val="5"/>
      </w:pPr>
    </w:p>
    <w:p w14:paraId="45F3B6FC">
      <w:pPr>
        <w:pStyle w:val="5"/>
      </w:pPr>
    </w:p>
    <w:p w14:paraId="3F95F54D">
      <w:pPr>
        <w:pStyle w:val="5"/>
      </w:pPr>
    </w:p>
    <w:p w14:paraId="6B27C00B">
      <w:pPr>
        <w:pStyle w:val="5"/>
      </w:pPr>
    </w:p>
    <w:p w14:paraId="13723C5F">
      <w:pPr>
        <w:pStyle w:val="5"/>
      </w:pPr>
    </w:p>
    <w:p w14:paraId="538A7DDC">
      <w:pPr>
        <w:pStyle w:val="5"/>
      </w:pPr>
    </w:p>
    <w:p w14:paraId="608AFCFC">
      <w:pPr>
        <w:pStyle w:val="5"/>
      </w:pPr>
    </w:p>
    <w:p w14:paraId="28B41ACD">
      <w:pPr>
        <w:pStyle w:val="5"/>
      </w:pPr>
    </w:p>
    <w:p w14:paraId="5BE2CCA8">
      <w:pPr>
        <w:pStyle w:val="5"/>
      </w:pPr>
    </w:p>
    <w:p w14:paraId="4B34E0A1">
      <w:pPr>
        <w:pStyle w:val="5"/>
      </w:pPr>
    </w:p>
    <w:p w14:paraId="30DF73FD">
      <w:pPr>
        <w:pStyle w:val="5"/>
      </w:pPr>
    </w:p>
    <w:p w14:paraId="1B39F848">
      <w:pPr>
        <w:pStyle w:val="5"/>
      </w:pPr>
    </w:p>
    <w:p w14:paraId="43913C78">
      <w:pPr>
        <w:pStyle w:val="5"/>
      </w:pPr>
    </w:p>
    <w:p w14:paraId="743ABF07">
      <w:pPr>
        <w:pStyle w:val="5"/>
      </w:pPr>
    </w:p>
    <w:p w14:paraId="33AD23A5">
      <w:pPr>
        <w:pStyle w:val="5"/>
      </w:pPr>
    </w:p>
    <w:p w14:paraId="131CCB9F">
      <w:pPr>
        <w:pStyle w:val="5"/>
      </w:pPr>
    </w:p>
    <w:p w14:paraId="772BD2BA">
      <w:pPr>
        <w:pStyle w:val="5"/>
      </w:pPr>
    </w:p>
    <w:p w14:paraId="40E92E80">
      <w:pPr>
        <w:pStyle w:val="5"/>
      </w:pPr>
    </w:p>
    <w:p w14:paraId="40940911">
      <w:pPr>
        <w:pStyle w:val="5"/>
      </w:pPr>
    </w:p>
    <w:p w14:paraId="1658BA2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00" w:usb3="00000000" w:csb0="0016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D123">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309B98">
                          <w:pPr>
                            <w:pStyle w:val="7"/>
                          </w:pPr>
                          <w:r>
                            <w:fldChar w:fldCharType="begin"/>
                          </w:r>
                          <w:r>
                            <w:instrText xml:space="preserve"> PAGE  \* MERGEFORMAT </w:instrText>
                          </w:r>
                          <w:r>
                            <w:fldChar w:fldCharType="separate"/>
                          </w:r>
                          <w:r>
                            <w:t>32</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48309B98">
                    <w:pPr>
                      <w:pStyle w:val="7"/>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8E7BA0"/>
    <w:multiLevelType w:val="singleLevel"/>
    <w:tmpl w:val="DC8E7BA0"/>
    <w:lvl w:ilvl="0" w:tentative="0">
      <w:start w:val="1"/>
      <w:numFmt w:val="chineseCounting"/>
      <w:suff w:val="nothing"/>
      <w:lvlText w:val="%1、"/>
      <w:lvlJc w:val="left"/>
      <w:rPr>
        <w:rFonts w:hint="eastAsia"/>
      </w:rPr>
    </w:lvl>
  </w:abstractNum>
  <w:abstractNum w:abstractNumId="1">
    <w:nsid w:val="64172593"/>
    <w:multiLevelType w:val="multilevel"/>
    <w:tmpl w:val="64172593"/>
    <w:lvl w:ilvl="0" w:tentative="0">
      <w:start w:val="1"/>
      <w:numFmt w:val="japaneseCounting"/>
      <w:lvlText w:val="第%1章"/>
      <w:lvlJc w:val="left"/>
      <w:pPr>
        <w:ind w:left="2252" w:hanging="1710"/>
      </w:pPr>
      <w:rPr>
        <w:rFonts w:hint="default"/>
      </w:rPr>
    </w:lvl>
    <w:lvl w:ilvl="1" w:tentative="0">
      <w:start w:val="1"/>
      <w:numFmt w:val="lowerLetter"/>
      <w:lvlText w:val="%2)"/>
      <w:lvlJc w:val="left"/>
      <w:pPr>
        <w:ind w:left="1382" w:hanging="420"/>
      </w:pPr>
    </w:lvl>
    <w:lvl w:ilvl="2" w:tentative="0">
      <w:start w:val="1"/>
      <w:numFmt w:val="lowerRoman"/>
      <w:lvlText w:val="%3."/>
      <w:lvlJc w:val="right"/>
      <w:pPr>
        <w:ind w:left="1802" w:hanging="420"/>
      </w:pPr>
    </w:lvl>
    <w:lvl w:ilvl="3" w:tentative="0">
      <w:start w:val="1"/>
      <w:numFmt w:val="decimal"/>
      <w:lvlText w:val="%4."/>
      <w:lvlJc w:val="left"/>
      <w:pPr>
        <w:ind w:left="2222" w:hanging="420"/>
      </w:pPr>
    </w:lvl>
    <w:lvl w:ilvl="4" w:tentative="0">
      <w:start w:val="1"/>
      <w:numFmt w:val="lowerLetter"/>
      <w:lvlText w:val="%5)"/>
      <w:lvlJc w:val="left"/>
      <w:pPr>
        <w:ind w:left="2642" w:hanging="420"/>
      </w:pPr>
    </w:lvl>
    <w:lvl w:ilvl="5" w:tentative="0">
      <w:start w:val="1"/>
      <w:numFmt w:val="lowerRoman"/>
      <w:lvlText w:val="%6."/>
      <w:lvlJc w:val="right"/>
      <w:pPr>
        <w:ind w:left="3062" w:hanging="420"/>
      </w:pPr>
    </w:lvl>
    <w:lvl w:ilvl="6" w:tentative="0">
      <w:start w:val="1"/>
      <w:numFmt w:val="decimal"/>
      <w:lvlText w:val="%7."/>
      <w:lvlJc w:val="left"/>
      <w:pPr>
        <w:ind w:left="3482" w:hanging="420"/>
      </w:pPr>
    </w:lvl>
    <w:lvl w:ilvl="7" w:tentative="0">
      <w:start w:val="1"/>
      <w:numFmt w:val="lowerLetter"/>
      <w:lvlText w:val="%8)"/>
      <w:lvlJc w:val="left"/>
      <w:pPr>
        <w:ind w:left="3902" w:hanging="420"/>
      </w:pPr>
    </w:lvl>
    <w:lvl w:ilvl="8" w:tentative="0">
      <w:start w:val="1"/>
      <w:numFmt w:val="lowerRoman"/>
      <w:lvlText w:val="%9."/>
      <w:lvlJc w:val="right"/>
      <w:pPr>
        <w:ind w:left="432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4ZjQzMTVjZTNiNzhkMGUwMmE4ZDdmZjRhNWQ5M2QifQ=="/>
  </w:docVars>
  <w:rsids>
    <w:rsidRoot w:val="00000000"/>
    <w:rsid w:val="005514B9"/>
    <w:rsid w:val="0CBB120F"/>
    <w:rsid w:val="0DF92156"/>
    <w:rsid w:val="15E1565D"/>
    <w:rsid w:val="18453522"/>
    <w:rsid w:val="1E65187E"/>
    <w:rsid w:val="1EF81A85"/>
    <w:rsid w:val="254C1305"/>
    <w:rsid w:val="2688375F"/>
    <w:rsid w:val="2A846C6A"/>
    <w:rsid w:val="2AF869AB"/>
    <w:rsid w:val="2B5C237E"/>
    <w:rsid w:val="2F87626E"/>
    <w:rsid w:val="36822694"/>
    <w:rsid w:val="37234799"/>
    <w:rsid w:val="3C8150BB"/>
    <w:rsid w:val="418D2960"/>
    <w:rsid w:val="46C259AF"/>
    <w:rsid w:val="495C4470"/>
    <w:rsid w:val="49E61A6B"/>
    <w:rsid w:val="4AA00723"/>
    <w:rsid w:val="55CD16D9"/>
    <w:rsid w:val="5C1A7475"/>
    <w:rsid w:val="63366E8D"/>
    <w:rsid w:val="63960976"/>
    <w:rsid w:val="67101947"/>
    <w:rsid w:val="67222766"/>
    <w:rsid w:val="68F1797D"/>
    <w:rsid w:val="69377C51"/>
    <w:rsid w:val="6D123F6D"/>
    <w:rsid w:val="6DE059D0"/>
    <w:rsid w:val="70143E0F"/>
    <w:rsid w:val="72CC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20" w:lineRule="exact"/>
    </w:pPr>
    <w:rPr>
      <w:rFonts w:ascii="仿宋_GB2312" w:hAnsi="宋体" w:eastAsia="仿宋_GB2312" w:cs="Times New Roman"/>
      <w:color w:val="008000"/>
      <w:kern w:val="0"/>
      <w:sz w:val="24"/>
      <w:szCs w:val="24"/>
    </w:rPr>
  </w:style>
  <w:style w:type="paragraph" w:styleId="3">
    <w:name w:val="Body Text Indent"/>
    <w:basedOn w:val="1"/>
    <w:next w:val="4"/>
    <w:qFormat/>
    <w:uiPriority w:val="0"/>
    <w:pPr>
      <w:widowControl/>
      <w:spacing w:after="120" w:line="240" w:lineRule="auto"/>
      <w:ind w:left="420" w:leftChars="200" w:firstLine="360" w:firstLineChars="0"/>
    </w:pPr>
    <w:rPr>
      <w:rFonts w:eastAsia="宋体"/>
      <w:kern w:val="0"/>
      <w:sz w:val="22"/>
      <w:szCs w:val="20"/>
      <w:lang w:eastAsia="en-US" w:bidi="en-US"/>
    </w:rPr>
  </w:style>
  <w:style w:type="paragraph" w:styleId="4">
    <w:name w:val="envelope return"/>
    <w:basedOn w:val="1"/>
    <w:qFormat/>
    <w:uiPriority w:val="0"/>
    <w:pPr>
      <w:snapToGrid w:val="0"/>
    </w:pPr>
    <w:rPr>
      <w:rFonts w:ascii="Arial" w:hAnsi="Arial" w:eastAsia="宋体" w:cs="Times New Roman"/>
    </w:rPr>
  </w:style>
  <w:style w:type="paragraph" w:styleId="5">
    <w:name w:val="Plain Text"/>
    <w:basedOn w:val="1"/>
    <w:next w:val="1"/>
    <w:qFormat/>
    <w:uiPriority w:val="99"/>
    <w:rPr>
      <w:rFonts w:ascii="宋体" w:hAnsi="Courier New" w:eastAsia="华文宋体" w:cs="Times New Roman"/>
      <w:kern w:val="0"/>
      <w:sz w:val="28"/>
      <w:szCs w:val="28"/>
    </w:rPr>
  </w:style>
  <w:style w:type="paragraph" w:styleId="6">
    <w:name w:val="Body Text Indent 2"/>
    <w:basedOn w:val="1"/>
    <w:unhideWhenUsed/>
    <w:qFormat/>
    <w:uiPriority w:val="0"/>
    <w:pPr>
      <w:spacing w:after="120" w:line="480" w:lineRule="auto"/>
      <w:ind w:left="420" w:leftChars="200"/>
    </w:pPr>
    <w:rPr>
      <w:rFonts w:ascii="Times New Roman" w:hAnsi="Times New Roman" w:eastAsia="宋体" w:cs="Times New Roman"/>
      <w:kern w:val="0"/>
      <w:sz w:val="20"/>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Body Text 2"/>
    <w:basedOn w:val="1"/>
    <w:next w:val="5"/>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11">
    <w:name w:val="Body Text First Indent 2"/>
    <w:basedOn w:val="3"/>
    <w:next w:val="1"/>
    <w:qFormat/>
    <w:uiPriority w:val="0"/>
    <w:pPr>
      <w:ind w:firstLine="420" w:firstLineChars="200"/>
    </w:pPr>
  </w:style>
  <w:style w:type="paragraph" w:customStyle="1" w:styleId="14">
    <w:name w:val="Default"/>
    <w:basedOn w:val="1"/>
    <w:qFormat/>
    <w:uiPriority w:val="99"/>
    <w:pPr>
      <w:autoSpaceDE w:val="0"/>
      <w:autoSpaceDN w:val="0"/>
      <w:adjustRightInd w:val="0"/>
      <w:jc w:val="left"/>
    </w:pPr>
    <w:rPr>
      <w:rFonts w:ascii="仿宋_GB2312" w:hAnsi="Times New Roman" w:eastAsia="仿宋_GB2312"/>
      <w:color w:val="000000"/>
      <w:kern w:val="0"/>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7001</Words>
  <Characters>8035</Characters>
  <Lines>0</Lines>
  <Paragraphs>0</Paragraphs>
  <TotalTime>23</TotalTime>
  <ScaleCrop>false</ScaleCrop>
  <LinksUpToDate>false</LinksUpToDate>
  <CharactersWithSpaces>8121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2023-04-12T01:26:00Z</dcterms:created>
  <dc:creator>Administrator</dc:creator>
  <cp:lastModifiedBy>花开半夏</cp:lastModifiedBy>
  <dcterms:modified xsi:type="dcterms:W3CDTF">2025-03-21T00:55:00Z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3EE1B18861ED4F72A0A0C51465C2688A_12</vt:lpwstr>
  </property>
  <property fmtid="{D5CDD505-2E9C-101B-9397-08002B2CF9AE}" pid="4" name="KSOTemplateDocerSaveRecord">
    <vt:lpwstr>eyJoZGlkIjoiMzJlZjBhNzVhNDFhZTQ4ZjMwMzY0ZWRjZDhkMjY4NjYiLCJ1c2VySWQiOiIyMzU3MDQxOTEifQ==</vt:lpwstr>
  </property>
</Properties>
</file>